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sz w:val="22"/>
          <w:szCs w:val="22"/>
          <w:lang w:val="mk-MK"/>
        </w:rPr>
      </w:pPr>
    </w:p>
    <w:p w:rsidR="008A3D6C" w:rsidRPr="00163C48" w:rsidRDefault="008A3D6C" w:rsidP="00E73238">
      <w:pPr>
        <w:tabs>
          <w:tab w:val="left" w:pos="3180"/>
        </w:tabs>
        <w:rPr>
          <w:rFonts w:ascii="StobiSerif Regular" w:hAnsi="StobiSerif Regular" w:cs="StobiSerif Regular"/>
          <w:sz w:val="22"/>
          <w:szCs w:val="22"/>
          <w:lang w:val="en-US"/>
        </w:rPr>
      </w:pPr>
      <w:r>
        <w:rPr>
          <w:rFonts w:ascii="StobiSerif Regular" w:hAnsi="StobiSerif Regular" w:cs="StobiSerif Regular"/>
          <w:sz w:val="22"/>
          <w:szCs w:val="22"/>
          <w:lang w:val="mk-MK"/>
        </w:rPr>
        <w:tab/>
      </w:r>
    </w:p>
    <w:p w:rsidR="008A3D6C" w:rsidRDefault="008A3D6C" w:rsidP="00E73238">
      <w:pPr>
        <w:tabs>
          <w:tab w:val="left" w:pos="3180"/>
        </w:tabs>
        <w:rPr>
          <w:rFonts w:ascii="StobiSerif Regular" w:hAnsi="StobiSerif Regular" w:cs="StobiSerif Regular"/>
          <w:sz w:val="22"/>
          <w:szCs w:val="22"/>
          <w:lang w:val="mk-MK"/>
        </w:rPr>
      </w:pPr>
      <w:r>
        <w:rPr>
          <w:rFonts w:ascii="StobiSerif Regular" w:hAnsi="StobiSerif Regular" w:cs="StobiSerif Regular"/>
          <w:sz w:val="22"/>
          <w:szCs w:val="22"/>
          <w:lang w:val="mk-MK"/>
        </w:rPr>
        <w:t xml:space="preserve">           </w:t>
      </w:r>
      <w:r>
        <w:rPr>
          <w:rFonts w:ascii="StobiSerif Regular" w:hAnsi="StobiSerif Regular" w:cs="StobiSerif Regular"/>
          <w:sz w:val="22"/>
          <w:szCs w:val="22"/>
          <w:lang w:val="en-US"/>
        </w:rPr>
        <w:t xml:space="preserve">         </w:t>
      </w:r>
      <w:r>
        <w:rPr>
          <w:rFonts w:ascii="StobiSerif Regular" w:hAnsi="StobiSerif Regular" w:cs="StobiSerif Regular"/>
          <w:sz w:val="22"/>
          <w:szCs w:val="22"/>
          <w:lang w:val="mk-MK"/>
        </w:rPr>
        <w:t>Акциски план за вработување млади лица 2016-2020 година</w:t>
      </w:r>
    </w:p>
    <w:p w:rsidR="008A3D6C" w:rsidRDefault="008A3D6C">
      <w:pPr>
        <w:rPr>
          <w:rFonts w:ascii="StobiSerif Regular" w:hAnsi="StobiSerif Regular" w:cs="StobiSerif Regular"/>
          <w:b/>
          <w:bCs/>
          <w:color w:val="0070C0"/>
          <w:sz w:val="22"/>
          <w:szCs w:val="22"/>
          <w:lang w:val="mk-MK"/>
        </w:rPr>
      </w:pPr>
      <w:r w:rsidRPr="00E73238">
        <w:rPr>
          <w:rFonts w:ascii="StobiSerif Regular" w:hAnsi="StobiSerif Regular" w:cs="StobiSerif Regular"/>
          <w:sz w:val="22"/>
          <w:szCs w:val="22"/>
          <w:lang w:val="mk-MK"/>
        </w:rPr>
        <w:br w:type="page"/>
      </w:r>
    </w:p>
    <w:p w:rsidR="008A3D6C" w:rsidRDefault="008A3D6C" w:rsidP="00E70B5E">
      <w:pPr>
        <w:ind w:firstLine="720"/>
        <w:jc w:val="both"/>
        <w:rPr>
          <w:rFonts w:ascii="StobiSerif Regular" w:hAnsi="StobiSerif Regular" w:cs="StobiSerif Regular"/>
          <w:sz w:val="22"/>
          <w:szCs w:val="22"/>
          <w:lang w:val="mk-MK"/>
        </w:rPr>
      </w:pPr>
      <w:r w:rsidRPr="00E70B5E">
        <w:rPr>
          <w:rFonts w:ascii="StobiSerif Regular" w:eastAsia="Arial Unicode MS" w:hAnsi="StobiSerif Regular" w:cs="StobiSerif Regular"/>
          <w:sz w:val="22"/>
          <w:szCs w:val="22"/>
          <w:lang w:val="mk-MK"/>
        </w:rPr>
        <w:t>Со цел да се надмине предизвикот со вработувањето на младите на национално ниво, Вл</w:t>
      </w:r>
      <w:r>
        <w:rPr>
          <w:rFonts w:ascii="StobiSerif Regular" w:eastAsia="Arial Unicode MS" w:hAnsi="StobiSerif Regular" w:cs="StobiSerif Regular"/>
          <w:sz w:val="22"/>
          <w:szCs w:val="22"/>
          <w:lang w:val="mk-MK"/>
        </w:rPr>
        <w:t xml:space="preserve">адата на Република Македонија и </w:t>
      </w:r>
      <w:r w:rsidRPr="00E70B5E">
        <w:rPr>
          <w:rFonts w:ascii="StobiSerif Regular" w:eastAsia="Arial Unicode MS" w:hAnsi="StobiSerif Regular" w:cs="StobiSerif Regular"/>
          <w:sz w:val="22"/>
          <w:szCs w:val="22"/>
          <w:lang w:val="mk-MK"/>
        </w:rPr>
        <w:t xml:space="preserve">социјалните партнери </w:t>
      </w:r>
      <w:r>
        <w:rPr>
          <w:rFonts w:ascii="StobiSerif Regular" w:eastAsia="Arial Unicode MS" w:hAnsi="StobiSerif Regular" w:cs="StobiSerif Regular"/>
          <w:sz w:val="22"/>
          <w:szCs w:val="22"/>
          <w:lang w:val="mk-MK"/>
        </w:rPr>
        <w:t>во соработка со Меѓународната организација на трудот изработија</w:t>
      </w:r>
      <w:r w:rsidRPr="00E70B5E">
        <w:rPr>
          <w:rFonts w:ascii="StobiSerif Regular" w:eastAsia="Arial Unicode MS" w:hAnsi="StobiSerif Regular" w:cs="StobiSerif Regular"/>
          <w:sz w:val="22"/>
          <w:szCs w:val="22"/>
          <w:lang w:val="mk-MK"/>
        </w:rPr>
        <w:t xml:space="preserve"> </w:t>
      </w:r>
      <w:r w:rsidRPr="00E70B5E">
        <w:rPr>
          <w:rFonts w:ascii="StobiSerif Regular" w:eastAsia="Arial Unicode MS" w:hAnsi="StobiSerif Regular" w:cs="StobiSerif Regular"/>
          <w:i/>
          <w:iCs/>
          <w:sz w:val="22"/>
          <w:szCs w:val="22"/>
          <w:lang w:val="mk-MK"/>
        </w:rPr>
        <w:t>Акциски пла</w:t>
      </w:r>
      <w:r>
        <w:rPr>
          <w:rFonts w:ascii="StobiSerif Regular" w:eastAsia="Arial Unicode MS" w:hAnsi="StobiSerif Regular" w:cs="StobiSerif Regular"/>
          <w:i/>
          <w:iCs/>
          <w:sz w:val="22"/>
          <w:szCs w:val="22"/>
          <w:lang w:val="mk-MK"/>
        </w:rPr>
        <w:t>н за вработување на младите 2016-2020 година</w:t>
      </w:r>
      <w:r w:rsidRPr="00E70B5E">
        <w:rPr>
          <w:rFonts w:ascii="StobiSerif Regular" w:eastAsia="Arial Unicode MS" w:hAnsi="StobiSerif Regular" w:cs="StobiSerif Regular"/>
          <w:i/>
          <w:iCs/>
          <w:sz w:val="22"/>
          <w:szCs w:val="22"/>
          <w:lang w:val="mk-MK"/>
        </w:rPr>
        <w:t>. Акцискиот план</w:t>
      </w:r>
      <w:r w:rsidRPr="00E70B5E">
        <w:rPr>
          <w:rFonts w:ascii="StobiSerif Regular" w:eastAsia="Arial Unicode MS" w:hAnsi="StobiSerif Regular" w:cs="StobiSerif Regular"/>
          <w:sz w:val="22"/>
          <w:szCs w:val="22"/>
          <w:lang w:val="mk-MK"/>
        </w:rPr>
        <w:t>, кој ќе</w:t>
      </w:r>
      <w:r>
        <w:rPr>
          <w:rFonts w:ascii="StobiSerif Regular" w:eastAsia="Arial Unicode MS" w:hAnsi="StobiSerif Regular" w:cs="StobiSerif Regular"/>
          <w:sz w:val="22"/>
          <w:szCs w:val="22"/>
          <w:lang w:val="mk-MK"/>
        </w:rPr>
        <w:t xml:space="preserve"> се спроведува до 2020 г.</w:t>
      </w:r>
      <w:r w:rsidRPr="00E70B5E">
        <w:rPr>
          <w:rFonts w:ascii="StobiSerif Regular" w:eastAsia="Arial Unicode MS" w:hAnsi="StobiSerif Regular" w:cs="StobiSerif Regular"/>
          <w:sz w:val="22"/>
          <w:szCs w:val="22"/>
          <w:lang w:val="mk-MK"/>
        </w:rPr>
        <w:t xml:space="preserve"> е </w:t>
      </w:r>
      <w:r>
        <w:rPr>
          <w:rFonts w:ascii="StobiSerif Regular" w:eastAsia="Arial Unicode MS" w:hAnsi="StobiSerif Regular" w:cs="StobiSerif Regular"/>
          <w:sz w:val="22"/>
          <w:szCs w:val="22"/>
          <w:lang w:val="mk-MK"/>
        </w:rPr>
        <w:t xml:space="preserve">главно фокусиран на </w:t>
      </w:r>
      <w:r w:rsidRPr="00E70B5E">
        <w:rPr>
          <w:rFonts w:ascii="StobiSerif Regular" w:eastAsia="Arial Unicode MS" w:hAnsi="StobiSerif Regular" w:cs="StobiSerif Regular"/>
          <w:sz w:val="22"/>
          <w:szCs w:val="22"/>
          <w:lang w:val="mk-MK"/>
        </w:rPr>
        <w:t>области</w:t>
      </w:r>
      <w:r>
        <w:rPr>
          <w:rFonts w:ascii="StobiSerif Regular" w:eastAsia="Arial Unicode MS" w:hAnsi="StobiSerif Regular" w:cs="StobiSerif Regular"/>
          <w:sz w:val="22"/>
          <w:szCs w:val="22"/>
          <w:lang w:val="mk-MK"/>
        </w:rPr>
        <w:t>те</w:t>
      </w:r>
      <w:r w:rsidRPr="00E70B5E">
        <w:rPr>
          <w:rFonts w:ascii="StobiSerif Regular" w:eastAsia="Arial Unicode MS" w:hAnsi="StobiSerif Regular" w:cs="StobiSerif Regular"/>
          <w:sz w:val="22"/>
          <w:szCs w:val="22"/>
          <w:lang w:val="mk-MK"/>
        </w:rPr>
        <w:t xml:space="preserve"> што се клучни за унапредување на вработеноста кај младите</w:t>
      </w:r>
      <w:r w:rsidRPr="00E70B5E">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         </w:t>
      </w:r>
    </w:p>
    <w:p w:rsidR="008A3D6C" w:rsidRDefault="008A3D6C" w:rsidP="00E70B5E">
      <w:pPr>
        <w:ind w:firstLine="720"/>
        <w:jc w:val="both"/>
        <w:rPr>
          <w:rFonts w:ascii="StobiSerif Regular" w:eastAsia="Arial Unicode MS" w:hAnsi="StobiSerif Regular"/>
          <w:i/>
          <w:iCs/>
          <w:sz w:val="22"/>
          <w:szCs w:val="22"/>
          <w:lang w:val="mk-MK"/>
        </w:rPr>
      </w:pPr>
      <w:r w:rsidRPr="00E70B5E">
        <w:rPr>
          <w:rFonts w:ascii="StobiSerif Regular" w:eastAsia="Arial Unicode MS" w:hAnsi="StobiSerif Regular" w:cs="StobiSerif Regular"/>
          <w:sz w:val="22"/>
          <w:szCs w:val="22"/>
          <w:lang w:val="mk-MK"/>
        </w:rPr>
        <w:t xml:space="preserve">Крајната цел на </w:t>
      </w:r>
      <w:r w:rsidRPr="00E70B5E">
        <w:rPr>
          <w:rFonts w:ascii="StobiSerif Regular" w:eastAsia="Arial Unicode MS" w:hAnsi="StobiSerif Regular" w:cs="StobiSerif Regular"/>
          <w:i/>
          <w:iCs/>
          <w:sz w:val="22"/>
          <w:szCs w:val="22"/>
          <w:lang w:val="mk-MK"/>
        </w:rPr>
        <w:t xml:space="preserve">Националниот Акциски план за вработување млади лица 2020 г. </w:t>
      </w:r>
      <w:r w:rsidRPr="00E70B5E">
        <w:rPr>
          <w:rFonts w:ascii="StobiSerif Regular" w:eastAsia="Arial Unicode MS" w:hAnsi="StobiSerif Regular" w:cs="StobiSerif Regular"/>
          <w:sz w:val="22"/>
          <w:szCs w:val="22"/>
          <w:lang w:val="mk-MK"/>
        </w:rPr>
        <w:t xml:space="preserve">е </w:t>
      </w:r>
      <w:r w:rsidRPr="00E70B5E">
        <w:rPr>
          <w:rFonts w:ascii="StobiSerif Regular" w:eastAsia="Arial Unicode MS" w:hAnsi="StobiSerif Regular" w:cs="StobiSerif Regular"/>
          <w:b/>
          <w:bCs/>
          <w:sz w:val="22"/>
          <w:szCs w:val="22"/>
          <w:lang w:val="mk-MK"/>
        </w:rPr>
        <w:t>промовирањето повеќе и подобри работни места за младите мажи и жени.</w:t>
      </w:r>
      <w:r w:rsidRPr="00E70B5E">
        <w:rPr>
          <w:rFonts w:ascii="StobiSerif Regular" w:eastAsia="Arial Unicode MS" w:hAnsi="StobiSerif Regular" w:cs="StobiSerif Regular"/>
          <w:i/>
          <w:iCs/>
          <w:sz w:val="22"/>
          <w:szCs w:val="22"/>
          <w:lang w:val="mk-MK"/>
        </w:rPr>
        <w:t xml:space="preserve"> </w:t>
      </w:r>
    </w:p>
    <w:p w:rsidR="008A3D6C" w:rsidRDefault="008A3D6C" w:rsidP="00E70B5E">
      <w:pPr>
        <w:ind w:firstLine="720"/>
        <w:jc w:val="both"/>
        <w:rPr>
          <w:rFonts w:ascii="StobiSerif Regular" w:eastAsia="Arial Unicode MS" w:hAnsi="StobiSerif Regular" w:cs="StobiSerif Regular"/>
          <w:sz w:val="22"/>
          <w:szCs w:val="22"/>
          <w:lang w:val="mk-MK"/>
        </w:rPr>
      </w:pPr>
      <w:r w:rsidRPr="00E70B5E">
        <w:rPr>
          <w:rFonts w:ascii="StobiSerif Regular" w:eastAsia="Arial Unicode MS" w:hAnsi="StobiSerif Regular" w:cs="StobiSerif Regular"/>
          <w:sz w:val="22"/>
          <w:szCs w:val="22"/>
          <w:lang w:val="mk-MK"/>
        </w:rPr>
        <w:t>Како специфични цели</w:t>
      </w:r>
      <w:r>
        <w:rPr>
          <w:rFonts w:ascii="StobiSerif Regular" w:eastAsia="Arial Unicode MS" w:hAnsi="StobiSerif Regular" w:cs="StobiSerif Regular"/>
          <w:sz w:val="22"/>
          <w:szCs w:val="22"/>
          <w:lang w:val="mk-MK"/>
        </w:rPr>
        <w:t xml:space="preserve"> на</w:t>
      </w:r>
      <w:r w:rsidRPr="00E70B5E">
        <w:rPr>
          <w:rFonts w:ascii="StobiSerif Regular" w:eastAsia="Arial Unicode MS" w:hAnsi="StobiSerif Regular" w:cs="StobiSerif Regular"/>
          <w:sz w:val="22"/>
          <w:szCs w:val="22"/>
          <w:lang w:val="mk-MK"/>
        </w:rPr>
        <w:t xml:space="preserve"> Акцискиот план кој ќе</w:t>
      </w:r>
      <w:r>
        <w:rPr>
          <w:rFonts w:ascii="StobiSerif Regular" w:eastAsia="Arial Unicode MS" w:hAnsi="StobiSerif Regular" w:cs="StobiSerif Regular"/>
          <w:sz w:val="22"/>
          <w:szCs w:val="22"/>
          <w:lang w:val="mk-MK"/>
        </w:rPr>
        <w:t xml:space="preserve"> се спроведува до 2020 г. и се главно фокусирани на </w:t>
      </w:r>
      <w:r w:rsidRPr="00E70B5E">
        <w:rPr>
          <w:rFonts w:ascii="StobiSerif Regular" w:eastAsia="Arial Unicode MS" w:hAnsi="StobiSerif Regular" w:cs="StobiSerif Regular"/>
          <w:sz w:val="22"/>
          <w:szCs w:val="22"/>
          <w:lang w:val="mk-MK"/>
        </w:rPr>
        <w:t>области</w:t>
      </w:r>
      <w:r>
        <w:rPr>
          <w:rFonts w:ascii="StobiSerif Regular" w:eastAsia="Arial Unicode MS" w:hAnsi="StobiSerif Regular" w:cs="StobiSerif Regular"/>
          <w:sz w:val="22"/>
          <w:szCs w:val="22"/>
          <w:lang w:val="mk-MK"/>
        </w:rPr>
        <w:t>те</w:t>
      </w:r>
      <w:r w:rsidRPr="00E70B5E">
        <w:rPr>
          <w:rFonts w:ascii="StobiSerif Regular" w:eastAsia="Arial Unicode MS" w:hAnsi="StobiSerif Regular" w:cs="StobiSerif Regular"/>
          <w:sz w:val="22"/>
          <w:szCs w:val="22"/>
          <w:lang w:val="mk-MK"/>
        </w:rPr>
        <w:t xml:space="preserve"> што се клучни за унапредување на вработеноста кај младите</w:t>
      </w:r>
      <w:r>
        <w:rPr>
          <w:rFonts w:ascii="StobiSerif Regular" w:eastAsia="Arial Unicode MS" w:hAnsi="StobiSerif Regular" w:cs="StobiSerif Regular"/>
          <w:sz w:val="22"/>
          <w:szCs w:val="22"/>
          <w:lang w:val="mk-MK"/>
        </w:rPr>
        <w:t xml:space="preserve"> се:</w:t>
      </w:r>
    </w:p>
    <w:p w:rsidR="008A3D6C" w:rsidRPr="00AD567C" w:rsidRDefault="008A3D6C" w:rsidP="00150751">
      <w:pPr>
        <w:pStyle w:val="Paragrafoelenco1"/>
        <w:numPr>
          <w:ilvl w:val="0"/>
          <w:numId w:val="1"/>
        </w:numPr>
        <w:jc w:val="both"/>
        <w:rPr>
          <w:rFonts w:ascii="StobiSerif Regular" w:hAnsi="StobiSerif Regular" w:cs="StobiSerif Regular"/>
          <w:lang w:val="mk-MK"/>
        </w:rPr>
      </w:pPr>
      <w:r w:rsidRPr="00AD567C">
        <w:rPr>
          <w:rFonts w:ascii="StobiSerif Regular" w:hAnsi="StobiSerif Regular" w:cs="StobiSerif Regular"/>
          <w:lang w:val="mk-MK"/>
        </w:rPr>
        <w:t>Подобрување на усогласеноста на понудата на вештини со барањата на пазарот на трудот;</w:t>
      </w:r>
    </w:p>
    <w:p w:rsidR="008A3D6C" w:rsidRPr="00AD567C" w:rsidRDefault="008A3D6C" w:rsidP="00150751">
      <w:pPr>
        <w:pStyle w:val="Paragrafoelenco1"/>
        <w:numPr>
          <w:ilvl w:val="0"/>
          <w:numId w:val="1"/>
        </w:numPr>
        <w:jc w:val="both"/>
        <w:rPr>
          <w:rFonts w:ascii="StobiSerif Regular" w:hAnsi="StobiSerif Regular" w:cs="StobiSerif Regular"/>
          <w:lang w:val="mk-MK"/>
        </w:rPr>
      </w:pPr>
      <w:r w:rsidRPr="00AD567C">
        <w:rPr>
          <w:rFonts w:ascii="StobiSerif Regular" w:hAnsi="StobiSerif Regular" w:cs="StobiSerif Regular"/>
          <w:lang w:val="mk-MK"/>
        </w:rPr>
        <w:t xml:space="preserve">Промовирање на отворањето работни места предводено од приватниот сектор; </w:t>
      </w:r>
    </w:p>
    <w:p w:rsidR="008A3D6C" w:rsidRPr="00525C98" w:rsidRDefault="008A3D6C" w:rsidP="00525C98">
      <w:pPr>
        <w:pStyle w:val="Paragrafoelenco1"/>
        <w:numPr>
          <w:ilvl w:val="0"/>
          <w:numId w:val="1"/>
        </w:numPr>
        <w:jc w:val="both"/>
        <w:rPr>
          <w:rFonts w:ascii="StobiSerif Regular" w:hAnsi="StobiSerif Regular" w:cs="StobiSerif Regular"/>
          <w:lang w:val="mk-MK"/>
        </w:rPr>
      </w:pPr>
      <w:r w:rsidRPr="00525C98">
        <w:rPr>
          <w:rFonts w:ascii="StobiSerif Regular" w:hAnsi="StobiSerif Regular" w:cs="StobiSerif Regular"/>
        </w:rPr>
        <w:t>Олеснување на преминот на младите лица во светот на работата;</w:t>
      </w:r>
      <w:r w:rsidRPr="00525C98">
        <w:rPr>
          <w:rFonts w:ascii="StobiSerif Regular" w:eastAsia="Arial Unicode MS" w:hAnsi="StobiSerif Regular" w:cs="StobiSerif Regular"/>
        </w:rPr>
        <w:t xml:space="preserve"> </w:t>
      </w:r>
    </w:p>
    <w:p w:rsidR="008A3D6C" w:rsidRPr="00BF7955" w:rsidRDefault="008A3D6C" w:rsidP="00A32C3C">
      <w:pPr>
        <w:ind w:firstLine="360"/>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Временската рамка на </w:t>
      </w:r>
      <w:r w:rsidRPr="00BF7955">
        <w:rPr>
          <w:rFonts w:ascii="StobiSerif Regular" w:hAnsi="StobiSerif Regular" w:cs="StobiSerif Regular"/>
          <w:i/>
          <w:iCs/>
          <w:sz w:val="22"/>
          <w:szCs w:val="22"/>
          <w:lang w:val="mk-MK"/>
        </w:rPr>
        <w:t>Акцискиот план за вработување млади лица</w:t>
      </w:r>
      <w:r w:rsidRPr="00BF7955">
        <w:rPr>
          <w:rFonts w:ascii="StobiSerif Regular" w:hAnsi="StobiSerif Regular" w:cs="StobiSerif Regular"/>
          <w:sz w:val="22"/>
          <w:szCs w:val="22"/>
          <w:lang w:val="mk-MK"/>
        </w:rPr>
        <w:t xml:space="preserve"> е пет години, од 2016 до 2020 година. Вкупниот број на млади луѓе во целната група изнесува приближно 200.000 млади мажи и жени (што е приближно еднакво на 42 проценти од вкупното младо население на возраст од 15 до 29 години).</w:t>
      </w:r>
    </w:p>
    <w:p w:rsidR="008A3D6C" w:rsidRPr="007907C6" w:rsidRDefault="008A3D6C" w:rsidP="006C664C">
      <w:pPr>
        <w:ind w:firstLine="360"/>
        <w:jc w:val="both"/>
      </w:pPr>
      <w:r w:rsidRPr="00704322">
        <w:rPr>
          <w:rFonts w:ascii="StobiSerif Regular" w:hAnsi="StobiSerif Regular" w:cs="StobiSerif Regular"/>
          <w:lang w:val="mk-MK"/>
        </w:rPr>
        <w:t>Ра</w:t>
      </w:r>
      <w:r>
        <w:rPr>
          <w:rFonts w:ascii="StobiSerif Regular" w:hAnsi="StobiSerif Regular" w:cs="StobiSerif Regular"/>
        </w:rPr>
        <w:t>мката за следење</w:t>
      </w:r>
      <w:r w:rsidRPr="00BF7955">
        <w:rPr>
          <w:rFonts w:ascii="StobiSerif Regular" w:hAnsi="StobiSerif Regular" w:cs="StobiSerif Regular"/>
          <w:sz w:val="22"/>
          <w:szCs w:val="22"/>
          <w:lang w:val="mk-MK"/>
        </w:rPr>
        <w:t xml:space="preserve"> на </w:t>
      </w:r>
      <w:r w:rsidRPr="00BF7955">
        <w:rPr>
          <w:rFonts w:ascii="StobiSerif Regular" w:hAnsi="StobiSerif Regular" w:cs="StobiSerif Regular"/>
          <w:i/>
          <w:iCs/>
          <w:sz w:val="22"/>
          <w:szCs w:val="22"/>
          <w:lang w:val="mk-MK"/>
        </w:rPr>
        <w:t>Акцискиот план</w:t>
      </w:r>
      <w:r w:rsidRPr="00BF7955">
        <w:rPr>
          <w:rFonts w:ascii="StobiSerif Regular" w:hAnsi="StobiSerif Regular" w:cs="StobiSerif Regular"/>
          <w:sz w:val="22"/>
          <w:szCs w:val="22"/>
          <w:lang w:val="mk-MK"/>
        </w:rPr>
        <w:t xml:space="preserve"> ќе се состои од редовно испитување на инпутите, аутпутите и исходит</w:t>
      </w:r>
      <w:r>
        <w:rPr>
          <w:rFonts w:ascii="StobiSerif Regular" w:hAnsi="StobiSerif Regular" w:cs="StobiSerif Regular"/>
        </w:rPr>
        <w:t>е на интервенциите</w:t>
      </w:r>
      <w:r w:rsidRPr="00BF7955">
        <w:rPr>
          <w:rFonts w:ascii="StobiSerif Regular" w:hAnsi="StobiSerif Regular" w:cs="StobiSerif Regular"/>
          <w:sz w:val="22"/>
          <w:szCs w:val="22"/>
          <w:lang w:val="mk-MK"/>
        </w:rPr>
        <w:t>. Тоа ќе се заснова врз систем за собирање информации и анализирање на показателите на успешноста.</w:t>
      </w:r>
      <w:r w:rsidRPr="00A32C3C">
        <w:rPr>
          <w:rFonts w:ascii="StobiSerif Regular" w:hAnsi="StobiSerif Regular" w:cs="StobiSerif Regular"/>
          <w:sz w:val="22"/>
          <w:szCs w:val="22"/>
          <w:lang w:val="mk-MK"/>
        </w:rPr>
        <w:t xml:space="preserve"> </w:t>
      </w:r>
      <w:r w:rsidRPr="00BF7955">
        <w:rPr>
          <w:rFonts w:ascii="StobiSerif Regular" w:hAnsi="StobiSerif Regular" w:cs="StobiSerif Regular"/>
          <w:sz w:val="22"/>
          <w:szCs w:val="22"/>
          <w:lang w:val="mk-MK"/>
        </w:rPr>
        <w:t>Ќе бидат спроведени две активности за оценување: 1) меѓупериодско оценување во 2018 година и 2) завршно оценување во 2020 година.</w:t>
      </w:r>
      <w:r w:rsidRPr="009E5C61">
        <w:rPr>
          <w:rFonts w:ascii="StobiSerif Regular" w:hAnsi="StobiSerif Regular" w:cs="StobiSerif Regular"/>
          <w:sz w:val="22"/>
          <w:szCs w:val="22"/>
          <w:lang w:val="mk-MK"/>
        </w:rPr>
        <w:t xml:space="preserve"> </w:t>
      </w:r>
      <w:r w:rsidRPr="00BF7955">
        <w:rPr>
          <w:rFonts w:ascii="StobiSerif Regular" w:hAnsi="StobiSerif Regular" w:cs="StobiSerif Regular"/>
          <w:sz w:val="22"/>
          <w:szCs w:val="22"/>
          <w:lang w:val="mk-MK"/>
        </w:rPr>
        <w:t>Меѓупериодското оценување ќе ги анализира аутпутите и резултатите на интервенциите, финансиското управување, квалитетот на следењето и неговото спроведување.</w:t>
      </w:r>
      <w:r>
        <w:rPr>
          <w:rFonts w:ascii="StobiSerif Regular" w:hAnsi="StobiSerif Regular" w:cs="StobiSerif Regular"/>
        </w:rPr>
        <w:t xml:space="preserve"> </w:t>
      </w:r>
      <w:r w:rsidRPr="00BF7955">
        <w:rPr>
          <w:rFonts w:ascii="StobiSerif Regular" w:hAnsi="StobiSerif Regular" w:cs="StobiSerif Regular"/>
          <w:sz w:val="22"/>
          <w:szCs w:val="22"/>
          <w:lang w:val="mk-MK"/>
        </w:rPr>
        <w:t>Завршното оценување, што треба да се спроведе во 2020 година, ќе ја оценува севкупната успешност на Акцискиот план. Тоа ќе даде информации за ефективноста и ефикасноста на интервенциите и за тоа во колкава мера биле постигнати очекуваните исходи.</w:t>
      </w:r>
    </w:p>
    <w:p w:rsidR="008A3D6C" w:rsidRPr="00AD567C" w:rsidRDefault="008A3D6C" w:rsidP="00E70B5E">
      <w:pPr>
        <w:ind w:firstLine="720"/>
        <w:jc w:val="both"/>
        <w:rPr>
          <w:rFonts w:ascii="StobiSerif Regular" w:hAnsi="StobiSerif Regular" w:cs="StobiSerif Regular"/>
          <w:b/>
          <w:bCs/>
          <w:sz w:val="22"/>
          <w:szCs w:val="22"/>
          <w:lang w:val="mk-MK"/>
        </w:rPr>
      </w:pPr>
      <w:r>
        <w:rPr>
          <w:rFonts w:ascii="StobiSerif Regular" w:hAnsi="StobiSerif Regular" w:cs="StobiSerif Regular"/>
          <w:sz w:val="22"/>
          <w:szCs w:val="22"/>
          <w:lang w:val="mk-MK"/>
        </w:rPr>
        <w:t xml:space="preserve">Вкупниот планиран износ за реализација на </w:t>
      </w:r>
      <w:r w:rsidRPr="006B079E">
        <w:rPr>
          <w:rFonts w:ascii="StobiSerif Regular" w:hAnsi="StobiSerif Regular" w:cs="StobiSerif Regular"/>
          <w:i/>
          <w:iCs/>
          <w:sz w:val="22"/>
          <w:szCs w:val="22"/>
          <w:lang w:val="mk-MK"/>
        </w:rPr>
        <w:t>Акцискиот план за вработување на млади  за периодот 2016-2020 година</w:t>
      </w:r>
      <w:r>
        <w:rPr>
          <w:rFonts w:ascii="StobiSerif Regular" w:hAnsi="StobiSerif Regular" w:cs="StobiSerif Regular"/>
          <w:sz w:val="22"/>
          <w:szCs w:val="22"/>
          <w:lang w:val="mk-MK"/>
        </w:rPr>
        <w:t xml:space="preserve"> изнесува 30.950.000 евра. </w:t>
      </w:r>
      <w:r w:rsidRPr="00BF7955">
        <w:rPr>
          <w:rFonts w:ascii="StobiSerif Regular" w:hAnsi="StobiSerif Regular" w:cs="StobiSerif Regular"/>
          <w:sz w:val="22"/>
          <w:szCs w:val="22"/>
          <w:lang w:val="mk-MK"/>
        </w:rPr>
        <w:t>Речиси 17 милиони евра се веќе обезбедени и буџетирани преку мерките од политиката што се испланирани од страна на Владата</w:t>
      </w:r>
      <w:r>
        <w:rPr>
          <w:rFonts w:ascii="StobiSerif Regular" w:hAnsi="StobiSerif Regular" w:cs="StobiSerif Regular"/>
          <w:sz w:val="22"/>
          <w:szCs w:val="22"/>
          <w:lang w:val="mk-MK"/>
        </w:rPr>
        <w:t xml:space="preserve"> на РМ</w:t>
      </w:r>
      <w:r w:rsidRPr="00BF7955">
        <w:rPr>
          <w:rFonts w:ascii="StobiSerif Regular" w:hAnsi="StobiSerif Regular" w:cs="StobiSerif Regular"/>
          <w:sz w:val="22"/>
          <w:szCs w:val="22"/>
          <w:lang w:val="mk-MK"/>
        </w:rPr>
        <w:t xml:space="preserve">, или преку инструментот за претпристапна помош на ЕУ, или преку проектите за техничка соработка што се финансирани од донатори. </w:t>
      </w:r>
      <w:r w:rsidRPr="00AD567C">
        <w:rPr>
          <w:rFonts w:ascii="StobiSerif Regular" w:hAnsi="StobiSerif Regular" w:cs="StobiSerif Regular"/>
          <w:b/>
          <w:bCs/>
          <w:sz w:val="22"/>
          <w:szCs w:val="22"/>
          <w:lang w:val="mk-MK"/>
        </w:rPr>
        <w:br w:type="page"/>
      </w: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Default="008A3D6C" w:rsidP="00BF7955">
      <w:pPr>
        <w:pStyle w:val="Title"/>
        <w:rPr>
          <w:rFonts w:ascii="StobiSerif Regular" w:hAnsi="StobiSerif Regular" w:cs="StobiSerif Regular"/>
          <w:b/>
          <w:bCs/>
          <w:color w:val="0070C0"/>
          <w:sz w:val="22"/>
          <w:szCs w:val="22"/>
          <w:lang w:val="mk-MK"/>
        </w:rPr>
      </w:pPr>
    </w:p>
    <w:p w:rsidR="008A3D6C" w:rsidRPr="00BF7955" w:rsidRDefault="008A3D6C" w:rsidP="00BF7955">
      <w:pPr>
        <w:pStyle w:val="Title"/>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АКЦИСКИ ПЛАН ЗА ВРАБОТУВАЊЕ МЛАДИ ЛИЦА </w:t>
      </w:r>
    </w:p>
    <w:p w:rsidR="008A3D6C" w:rsidRPr="00BF7955" w:rsidRDefault="008A3D6C" w:rsidP="00BF7955">
      <w:pPr>
        <w:pStyle w:val="Title"/>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2016-2020</w:t>
      </w:r>
    </w:p>
    <w:p w:rsidR="008A3D6C" w:rsidRPr="00BF7955" w:rsidRDefault="008A3D6C" w:rsidP="00EE1C76">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br w:type="page"/>
      </w: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Содржина</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b/>
          <w:bCs/>
          <w:sz w:val="22"/>
          <w:szCs w:val="22"/>
          <w:lang w:val="mk-MK"/>
        </w:rPr>
        <w:t xml:space="preserve">Вовед </w:t>
      </w:r>
      <w:r>
        <w:rPr>
          <w:rFonts w:ascii="StobiSerif Regular" w:hAnsi="StobiSerif Regular" w:cs="StobiSerif Regular"/>
          <w:sz w:val="22"/>
          <w:szCs w:val="22"/>
          <w:lang w:val="mk-MK"/>
        </w:rPr>
        <w:tab/>
      </w:r>
    </w:p>
    <w:p w:rsidR="008A3D6C" w:rsidRPr="00BF7955" w:rsidRDefault="008A3D6C" w:rsidP="00BF7955">
      <w:pPr>
        <w:rPr>
          <w:rFonts w:ascii="StobiSerif Regular" w:hAnsi="StobiSerif Regular" w:cs="StobiSerif Regular"/>
          <w:sz w:val="22"/>
          <w:szCs w:val="22"/>
          <w:lang w:val="mk-MK"/>
        </w:rPr>
      </w:pPr>
    </w:p>
    <w:p w:rsidR="008A3D6C" w:rsidRPr="00BF7955" w:rsidRDefault="008A3D6C" w:rsidP="00BF7955">
      <w:pPr>
        <w:rPr>
          <w:rFonts w:ascii="StobiSerif Regular" w:hAnsi="StobiSerif Regular" w:cs="StobiSerif Regular"/>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ДЕЛ I – СИТУАЦИСКА АНАЛИЗА</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1. Преглед на социјалниот и економскиот контекст</w:t>
      </w:r>
      <w:r w:rsidRPr="00BF7955">
        <w:rPr>
          <w:rFonts w:ascii="StobiSerif Regular" w:hAnsi="StobiSerif Regular" w:cs="StobiSerif Regular"/>
          <w:sz w:val="22"/>
          <w:szCs w:val="22"/>
          <w:lang w:val="mk-MK"/>
        </w:rPr>
        <w:tab/>
        <w:t>1</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2. Анализа на пазарот на трудот</w:t>
      </w:r>
      <w:r w:rsidRPr="00BF7955">
        <w:rPr>
          <w:rFonts w:ascii="StobiSerif Regular" w:hAnsi="StobiSerif Regular" w:cs="StobiSerif Regular"/>
          <w:sz w:val="22"/>
          <w:szCs w:val="22"/>
          <w:lang w:val="mk-MK"/>
        </w:rPr>
        <w:tab/>
        <w:t>2</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b/>
          <w:bCs/>
          <w:sz w:val="22"/>
          <w:szCs w:val="22"/>
          <w:lang w:val="mk-MK"/>
        </w:rPr>
        <w:t xml:space="preserve">3. Преглед на политиките што имаат влијание врз вработувањето на младите лица </w:t>
      </w:r>
      <w:r w:rsidRPr="00BF7955">
        <w:rPr>
          <w:rFonts w:ascii="StobiSerif Regular" w:hAnsi="StobiSerif Regular" w:cs="StobiSerif Regular"/>
          <w:sz w:val="22"/>
          <w:szCs w:val="22"/>
          <w:lang w:val="mk-MK"/>
        </w:rPr>
        <w:tab/>
        <w:t>9</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3.1 Зајакнување на системот за управување со пазарот на труд (за младите лица) </w:t>
      </w:r>
      <w:r w:rsidRPr="00BF7955">
        <w:rPr>
          <w:rFonts w:ascii="StobiSerif Regular" w:hAnsi="StobiSerif Regular" w:cs="StobiSerif Regular"/>
          <w:sz w:val="22"/>
          <w:szCs w:val="22"/>
          <w:lang w:val="mk-MK"/>
        </w:rPr>
        <w:tab/>
        <w:t>9</w:t>
      </w:r>
    </w:p>
    <w:p w:rsidR="008A3D6C" w:rsidRPr="00BF7955" w:rsidRDefault="008A3D6C" w:rsidP="00BF7955">
      <w:pPr>
        <w:pStyle w:val="ListParagrap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3.2 Подобрување на можностите за вработување на младите лица </w:t>
      </w:r>
      <w:r w:rsidRPr="00BF7955">
        <w:rPr>
          <w:rFonts w:ascii="StobiSerif Regular" w:hAnsi="StobiSerif Regular" w:cs="StobiSerif Regular"/>
          <w:sz w:val="22"/>
          <w:szCs w:val="22"/>
          <w:lang w:val="mk-MK"/>
        </w:rPr>
        <w:tab/>
        <w:t>10</w:t>
      </w:r>
    </w:p>
    <w:p w:rsidR="008A3D6C" w:rsidRPr="00BF7955" w:rsidRDefault="008A3D6C" w:rsidP="00BF7955">
      <w:pPr>
        <w:pStyle w:val="ListParagrap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3.3 Поттикнување на вработувањето на младите лица преку развој на приватниот сектор</w:t>
      </w:r>
      <w:r w:rsidRPr="00BF7955">
        <w:rPr>
          <w:rFonts w:ascii="StobiSerif Regular" w:hAnsi="StobiSerif Regular" w:cs="StobiSerif Regular"/>
          <w:sz w:val="22"/>
          <w:szCs w:val="22"/>
          <w:lang w:val="mk-MK"/>
        </w:rPr>
        <w:tab/>
        <w:t>11</w:t>
      </w:r>
    </w:p>
    <w:p w:rsidR="008A3D6C" w:rsidRPr="00BF7955" w:rsidRDefault="008A3D6C" w:rsidP="00BF7955">
      <w:pPr>
        <w:pStyle w:val="ListParagrap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3.4 Обезбедување вклучување на младите лица во неповолна положба на пазарот на трудот</w:t>
      </w:r>
      <w:r w:rsidRPr="00BF7955">
        <w:rPr>
          <w:rFonts w:ascii="StobiSerif Regular" w:hAnsi="StobiSerif Regular" w:cs="StobiSerif Regular"/>
          <w:sz w:val="22"/>
          <w:szCs w:val="22"/>
          <w:lang w:val="mk-MK"/>
        </w:rPr>
        <w:tab/>
        <w:t>12</w:t>
      </w:r>
    </w:p>
    <w:p w:rsidR="008A3D6C" w:rsidRPr="00BF7955" w:rsidRDefault="008A3D6C" w:rsidP="00BF7955">
      <w:pPr>
        <w:pStyle w:val="ListParagrap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3.5 Национален акциски план за вработување млади лица: резиме на постигнувања</w:t>
      </w:r>
      <w:r w:rsidRPr="00BF7955">
        <w:rPr>
          <w:rFonts w:ascii="StobiSerif Regular" w:hAnsi="StobiSerif Regular" w:cs="StobiSerif Regular"/>
          <w:sz w:val="22"/>
          <w:szCs w:val="22"/>
          <w:lang w:val="mk-MK"/>
        </w:rPr>
        <w:tab/>
        <w:t>13</w:t>
      </w:r>
    </w:p>
    <w:p w:rsidR="008A3D6C" w:rsidRPr="00BF7955" w:rsidRDefault="008A3D6C" w:rsidP="00BF7955">
      <w:pPr>
        <w:rPr>
          <w:rFonts w:ascii="StobiSerif Regular" w:hAnsi="StobiSerif Regular" w:cs="StobiSerif Regular"/>
          <w:b/>
          <w:bCs/>
          <w:sz w:val="22"/>
          <w:szCs w:val="22"/>
          <w:lang w:val="mk-MK"/>
        </w:rPr>
      </w:pPr>
    </w:p>
    <w:p w:rsidR="008A3D6C" w:rsidRPr="00BF7955" w:rsidRDefault="008A3D6C" w:rsidP="00BF7955">
      <w:pPr>
        <w:rPr>
          <w:rFonts w:ascii="StobiSerif Regular" w:hAnsi="StobiSerif Regular" w:cs="StobiSerif Regular"/>
          <w:b/>
          <w:bCs/>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ДЕЛ II – ПРИОРИТЕТНИ ПОЛИТИКИ</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 xml:space="preserve">1. Утврдување на проблемите </w:t>
      </w:r>
      <w:r w:rsidRPr="00BF7955">
        <w:rPr>
          <w:rFonts w:ascii="StobiSerif Regular" w:hAnsi="StobiSerif Regular" w:cs="StobiSerif Regular"/>
          <w:sz w:val="22"/>
          <w:szCs w:val="22"/>
          <w:lang w:val="mk-MK"/>
        </w:rPr>
        <w:tab/>
        <w:t>14</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2. Приоритети на политиката</w:t>
      </w:r>
      <w:r w:rsidRPr="00BF7955">
        <w:rPr>
          <w:rFonts w:ascii="StobiSerif Regular" w:hAnsi="StobiSerif Regular" w:cs="StobiSerif Regular"/>
          <w:sz w:val="22"/>
          <w:szCs w:val="22"/>
          <w:lang w:val="mk-MK"/>
        </w:rPr>
        <w:tab/>
        <w:t>17</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2.1. Образование и обука</w:t>
      </w:r>
      <w:r w:rsidRPr="00BF7955">
        <w:rPr>
          <w:rFonts w:ascii="StobiSerif Regular" w:hAnsi="StobiSerif Regular" w:cs="StobiSerif Regular"/>
          <w:sz w:val="22"/>
          <w:szCs w:val="22"/>
          <w:lang w:val="mk-MK"/>
        </w:rPr>
        <w:tab/>
        <w:t>17</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2.2. Развој на приватниот сектор  </w:t>
      </w:r>
      <w:r w:rsidRPr="00BF7955">
        <w:rPr>
          <w:rFonts w:ascii="StobiSerif Regular" w:hAnsi="StobiSerif Regular" w:cs="StobiSerif Regular"/>
          <w:sz w:val="22"/>
          <w:szCs w:val="22"/>
          <w:lang w:val="mk-MK"/>
        </w:rPr>
        <w:tab/>
        <w:t>18</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2.3. Политики за пазарот на трудот </w:t>
      </w:r>
      <w:r w:rsidRPr="00BF7955">
        <w:rPr>
          <w:rFonts w:ascii="StobiSerif Regular" w:hAnsi="StobiSerif Regular" w:cs="StobiSerif Regular"/>
          <w:sz w:val="22"/>
          <w:szCs w:val="22"/>
          <w:lang w:val="mk-MK"/>
        </w:rPr>
        <w:tab/>
        <w:t>19</w:t>
      </w:r>
    </w:p>
    <w:p w:rsidR="008A3D6C" w:rsidRPr="00BF7955" w:rsidRDefault="008A3D6C" w:rsidP="00EE1C76">
      <w:pPr>
        <w:rPr>
          <w:rFonts w:ascii="StobiSerif Regular" w:hAnsi="StobiSerif Regular" w:cs="StobiSerif Regular"/>
          <w:b/>
          <w:bCs/>
          <w:color w:val="0070C0"/>
          <w:sz w:val="22"/>
          <w:szCs w:val="22"/>
          <w:lang w:val="mk-MK"/>
        </w:rPr>
      </w:pPr>
    </w:p>
    <w:p w:rsidR="008A3D6C" w:rsidRPr="00BF7955" w:rsidRDefault="008A3D6C" w:rsidP="00EE1C76">
      <w:pPr>
        <w:rPr>
          <w:rFonts w:ascii="StobiSerif Regular" w:hAnsi="StobiSerif Regular" w:cs="StobiSerif Regular"/>
          <w:b/>
          <w:bCs/>
          <w:color w:val="0070C0"/>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ДЕЛ III – ПЛАНИРАЊЕ АКТИВНОСТИ</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 xml:space="preserve">1. Крајна цел </w:t>
      </w:r>
      <w:r w:rsidRPr="00BF7955">
        <w:rPr>
          <w:rFonts w:ascii="StobiSerif Regular" w:hAnsi="StobiSerif Regular" w:cs="StobiSerif Regular"/>
          <w:sz w:val="22"/>
          <w:szCs w:val="22"/>
          <w:lang w:val="mk-MK"/>
        </w:rPr>
        <w:tab/>
        <w:t>20</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2. Специфични цели и насоки за вработување млади лица</w:t>
      </w:r>
      <w:r w:rsidRPr="00BF7955">
        <w:rPr>
          <w:rFonts w:ascii="StobiSerif Regular" w:hAnsi="StobiSerif Regular" w:cs="StobiSerif Regular"/>
          <w:sz w:val="22"/>
          <w:szCs w:val="22"/>
          <w:lang w:val="mk-MK"/>
        </w:rPr>
        <w:tab/>
        <w:t>20</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 xml:space="preserve">3. Клучни исходи и показатели </w:t>
      </w:r>
      <w:r w:rsidRPr="00BF7955">
        <w:rPr>
          <w:rFonts w:ascii="StobiSerif Regular" w:hAnsi="StobiSerif Regular" w:cs="StobiSerif Regular"/>
          <w:sz w:val="22"/>
          <w:szCs w:val="22"/>
          <w:lang w:val="mk-MK"/>
        </w:rPr>
        <w:tab/>
        <w:t>21</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3.1. Подобрување на усогласувањето на понудата на вештини со барањата на пазарот на трудот </w:t>
      </w:r>
      <w:r w:rsidRPr="00BF7955">
        <w:rPr>
          <w:rFonts w:ascii="StobiSerif Regular" w:hAnsi="StobiSerif Regular" w:cs="StobiSerif Regular"/>
          <w:sz w:val="22"/>
          <w:szCs w:val="22"/>
          <w:lang w:val="mk-MK"/>
        </w:rPr>
        <w:tab/>
        <w:t>21</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3.2. Промовирање на отворањето работни места предводено од приватниот сектор</w:t>
      </w:r>
      <w:r w:rsidRPr="00BF7955">
        <w:rPr>
          <w:rFonts w:ascii="StobiSerif Regular" w:hAnsi="StobiSerif Regular" w:cs="StobiSerif Regular"/>
          <w:sz w:val="22"/>
          <w:szCs w:val="22"/>
          <w:lang w:val="mk-MK"/>
        </w:rPr>
        <w:tab/>
        <w:t>26</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3.3. Олеснување на преминот на младите лица на работа </w:t>
      </w:r>
      <w:r w:rsidRPr="00BF7955">
        <w:rPr>
          <w:rFonts w:ascii="StobiSerif Regular" w:hAnsi="StobiSerif Regular" w:cs="StobiSerif Regular"/>
          <w:sz w:val="22"/>
          <w:szCs w:val="22"/>
          <w:lang w:val="mk-MK"/>
        </w:rPr>
        <w:tab/>
        <w:t>28</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4. Ресурси</w:t>
      </w:r>
      <w:r w:rsidRPr="00BF7955">
        <w:rPr>
          <w:rFonts w:ascii="StobiSerif Regular" w:hAnsi="StobiSerif Regular" w:cs="StobiSerif Regular"/>
          <w:sz w:val="22"/>
          <w:szCs w:val="22"/>
          <w:lang w:val="mk-MK"/>
        </w:rPr>
        <w:tab/>
        <w:t>32</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5. Механизам за спроведување и координирање</w:t>
      </w:r>
      <w:r w:rsidRPr="00BF7955">
        <w:rPr>
          <w:rFonts w:ascii="StobiSerif Regular" w:hAnsi="StobiSerif Regular" w:cs="StobiSerif Regular"/>
          <w:sz w:val="22"/>
          <w:szCs w:val="22"/>
          <w:lang w:val="mk-MK"/>
        </w:rPr>
        <w:tab/>
        <w:t>36</w:t>
      </w: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6. Следење и оценување</w:t>
      </w:r>
      <w:r w:rsidRPr="00BF7955">
        <w:rPr>
          <w:rFonts w:ascii="StobiSerif Regular" w:hAnsi="StobiSerif Regular" w:cs="StobiSerif Regular"/>
          <w:sz w:val="22"/>
          <w:szCs w:val="22"/>
          <w:lang w:val="mk-MK"/>
        </w:rPr>
        <w:tab/>
        <w:t>36</w:t>
      </w:r>
    </w:p>
    <w:p w:rsidR="008A3D6C" w:rsidRPr="00BF7955" w:rsidRDefault="008A3D6C" w:rsidP="00EE1C76">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br w:type="page"/>
      </w:r>
    </w:p>
    <w:p w:rsidR="008A3D6C" w:rsidRPr="00BF7955" w:rsidRDefault="008A3D6C" w:rsidP="00BF7955">
      <w:pPr>
        <w:rPr>
          <w:rFonts w:ascii="StobiSerif Regular" w:hAnsi="StobiSerif Regular" w:cs="StobiSerif Regular"/>
          <w:b/>
          <w:bCs/>
          <w:color w:val="0070C0"/>
          <w:sz w:val="22"/>
          <w:szCs w:val="22"/>
          <w:lang w:val="mk-MK"/>
        </w:rPr>
      </w:pPr>
    </w:p>
    <w:p w:rsidR="008A3D6C" w:rsidRPr="00BF7955" w:rsidRDefault="008A3D6C" w:rsidP="00BF7955">
      <w:pPr>
        <w:rPr>
          <w:rFonts w:ascii="StobiSerif Regular" w:hAnsi="StobiSerif Regular" w:cs="StobiSerif Regular"/>
          <w:b/>
          <w:bCs/>
          <w:sz w:val="22"/>
          <w:szCs w:val="22"/>
          <w:lang w:val="mk-MK"/>
        </w:rPr>
      </w:pPr>
      <w:r w:rsidRPr="00BF7955">
        <w:rPr>
          <w:rFonts w:ascii="StobiSerif Regular" w:hAnsi="StobiSerif Regular" w:cs="StobiSerif Regular"/>
          <w:b/>
          <w:bCs/>
          <w:sz w:val="22"/>
          <w:szCs w:val="22"/>
          <w:lang w:val="mk-MK"/>
        </w:rPr>
        <w:t xml:space="preserve">Прилози </w:t>
      </w:r>
    </w:p>
    <w:p w:rsidR="008A3D6C" w:rsidRPr="00BF7955" w:rsidRDefault="008A3D6C" w:rsidP="00BF7955">
      <w:pPr>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Прилог 1 – Матрица на Акцискиот план за вработување млади лица</w:t>
      </w:r>
      <w:r w:rsidRPr="00BF7955">
        <w:rPr>
          <w:rFonts w:ascii="StobiSerif Regular" w:hAnsi="StobiSerif Regular" w:cs="StobiSerif Regular"/>
          <w:i/>
          <w:iCs/>
          <w:sz w:val="22"/>
          <w:szCs w:val="22"/>
          <w:lang w:val="mk-MK"/>
        </w:rPr>
        <w:tab/>
      </w:r>
      <w:r w:rsidRPr="00BF7955">
        <w:rPr>
          <w:rFonts w:ascii="StobiSerif Regular" w:hAnsi="StobiSerif Regular" w:cs="StobiSerif Regular"/>
          <w:sz w:val="22"/>
          <w:szCs w:val="22"/>
          <w:lang w:val="mk-MK"/>
        </w:rPr>
        <w:t>39</w:t>
      </w:r>
    </w:p>
    <w:p w:rsidR="008A3D6C" w:rsidRPr="00BF7955" w:rsidRDefault="008A3D6C" w:rsidP="00EE1C76">
      <w:pPr>
        <w:rPr>
          <w:rFonts w:ascii="StobiSerif Regular" w:hAnsi="StobiSerif Regular" w:cs="StobiSerif Regular"/>
          <w:sz w:val="22"/>
          <w:szCs w:val="22"/>
          <w:lang w:val="mk-MK"/>
        </w:rPr>
      </w:pPr>
    </w:p>
    <w:p w:rsidR="008A3D6C" w:rsidRPr="00BF7955" w:rsidRDefault="008A3D6C" w:rsidP="00BF7955">
      <w:pPr>
        <w:rPr>
          <w:rFonts w:ascii="StobiSerif Regular" w:hAnsi="StobiSerif Regular" w:cs="StobiSerif Regular"/>
          <w:b/>
          <w:bCs/>
          <w:color w:val="000000"/>
          <w:sz w:val="22"/>
          <w:szCs w:val="22"/>
          <w:lang w:val="mk-MK"/>
        </w:rPr>
      </w:pPr>
      <w:r w:rsidRPr="00BF7955">
        <w:rPr>
          <w:rFonts w:ascii="StobiSerif Regular" w:hAnsi="StobiSerif Regular" w:cs="StobiSerif Regular"/>
          <w:b/>
          <w:bCs/>
          <w:color w:val="000000"/>
          <w:sz w:val="22"/>
          <w:szCs w:val="22"/>
          <w:lang w:val="mk-MK"/>
        </w:rPr>
        <w:t>Список табели, слики и рамки</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Табела 1: Клучни макроекономски показатели, Македонија (2011-2014 г.)</w: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Табела 2: Клучни показатели за пазарот на трудот (2012-2014 г.)</w:t>
      </w:r>
    </w:p>
    <w:p w:rsidR="008A3D6C" w:rsidRPr="00BF7955" w:rsidRDefault="008A3D6C" w:rsidP="00BF7955">
      <w:pPr>
        <w:pStyle w:val="BodyText2"/>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Табела 3: Структура на вработеноста на младите лица (15-29), 2012-2014 г.</w:t>
      </w:r>
    </w:p>
    <w:p w:rsidR="008A3D6C" w:rsidRPr="00BF7955" w:rsidRDefault="008A3D6C" w:rsidP="00BF7955">
      <w:pPr>
        <w:rPr>
          <w:rFonts w:ascii="StobiSerif Regular" w:hAnsi="StobiSerif Regular" w:cs="StobiSerif Regular"/>
          <w:sz w:val="22"/>
          <w:szCs w:val="22"/>
          <w:lang w:val="mk-MK" w:eastAsia="it-IT"/>
        </w:rPr>
      </w:pPr>
      <w:r w:rsidRPr="00BF7955">
        <w:rPr>
          <w:rFonts w:ascii="StobiSerif Regular" w:hAnsi="StobiSerif Regular" w:cs="StobiSerif Regular"/>
          <w:sz w:val="22"/>
          <w:szCs w:val="22"/>
          <w:lang w:val="mk-MK" w:eastAsia="it-IT"/>
        </w:rPr>
        <w:t xml:space="preserve">Табела 4: Неусогласеноста меѓу образованието и занимањата како функција на ISCO и ISCED, 2014 г. </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Табела 5: Показатели за преминот од училиште на работа (2011-2014 г.)</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Табела 6: Резиме на трошоците и изворите за финансирање на Акцискиот план за вработување млади лица на Република Македонија </w:t>
      </w:r>
    </w:p>
    <w:p w:rsidR="008A3D6C" w:rsidRPr="00BF7955" w:rsidRDefault="008A3D6C" w:rsidP="00BF7955">
      <w:pPr>
        <w:rPr>
          <w:rFonts w:ascii="StobiSerif Regular" w:hAnsi="StobiSerif Regular" w:cs="StobiSerif Regular"/>
          <w:sz w:val="22"/>
          <w:szCs w:val="22"/>
          <w:lang w:val="mk-MK"/>
        </w:rPr>
      </w:pP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Слика 1: Групи од населението  - деца, млади лица и постари лица (2010-2030 г.)</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Слика 2: Младо население (15-29) според ниво на образование (2010-2014 г.), во проценти</w:t>
      </w:r>
    </w:p>
    <w:p w:rsidR="008A3D6C" w:rsidRPr="00BF7955" w:rsidRDefault="008A3D6C" w:rsidP="00BF7955">
      <w:pPr>
        <w:pStyle w:val="Heading2"/>
        <w:rPr>
          <w:rFonts w:ascii="StobiSerif Regular" w:hAnsi="StobiSerif Regular" w:cs="StobiSerif Regular"/>
          <w:b w:val="0"/>
          <w:bCs w:val="0"/>
          <w:color w:val="auto"/>
          <w:sz w:val="22"/>
          <w:szCs w:val="22"/>
          <w:lang w:val="mk-MK"/>
        </w:rPr>
      </w:pPr>
      <w:r w:rsidRPr="00BF7955">
        <w:rPr>
          <w:rFonts w:ascii="StobiSerif Regular" w:hAnsi="StobiSerif Regular" w:cs="StobiSerif Regular"/>
          <w:b w:val="0"/>
          <w:bCs w:val="0"/>
          <w:color w:val="auto"/>
          <w:sz w:val="22"/>
          <w:szCs w:val="22"/>
          <w:lang w:val="mk-MK"/>
        </w:rPr>
        <w:t>Слика 3: Лица што предвремено го напуштаат образованието (2010-2014 г.)</w: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Слика 4: Вработеност на младите лица (15-29) според економскиот сектор (2012-2014 г.)</w: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Слика 5: Слободни работни места според структура на занимањата (2012-2014 г.)</w: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Слика 6: Стапка на невработеност на младите лица (15-29) според степенот на стекнатото образование (2014 г.)</w: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Слика 7: Млади лица (15-29) надвор од работната сила, образование или обука, според пол (2010-2014 г.)</w: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Слика 8: Проектирани стапки на активност, вработеност и невработеност на младите лица (15-29), (2015-2020 г.)</w: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Слика 9: Проектирана стапка на раст на вработеноста според економскиот сектор (2015-2020 г.)</w:t>
      </w:r>
    </w:p>
    <w:p w:rsidR="008A3D6C" w:rsidRPr="00BF7955" w:rsidRDefault="008A3D6C" w:rsidP="00BF7955">
      <w:pPr>
        <w:rPr>
          <w:rFonts w:ascii="StobiSerif Regular" w:hAnsi="StobiSerif Regular" w:cs="StobiSerif Regular"/>
          <w:sz w:val="22"/>
          <w:szCs w:val="22"/>
          <w:lang w:val="mk-MK"/>
        </w:rPr>
      </w:pP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Рамка 1: Главни постигнувања на Акцискиот план за вработување млади лица до 2015 г.</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Рамка 2: Основни решавачки фактори за вработувањето на младите лица</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Рамка 3: Координативен механизам за Акцискиот план за вработување млади лица</w:t>
      </w:r>
    </w:p>
    <w:p w:rsidR="008A3D6C" w:rsidRPr="00BF7955" w:rsidRDefault="008A3D6C" w:rsidP="00BF7955">
      <w:pPr>
        <w:rPr>
          <w:rFonts w:ascii="StobiSerif Regular" w:hAnsi="StobiSerif Regular" w:cs="StobiSerif Regular"/>
          <w:b/>
          <w:bCs/>
          <w:color w:val="000000"/>
          <w:sz w:val="22"/>
          <w:szCs w:val="22"/>
          <w:lang w:val="mk-MK"/>
        </w:rPr>
      </w:pPr>
    </w:p>
    <w:p w:rsidR="008A3D6C" w:rsidRPr="00BF7955" w:rsidRDefault="008A3D6C" w:rsidP="00EE1C76">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br w:type="page"/>
      </w:r>
    </w:p>
    <w:p w:rsidR="008A3D6C" w:rsidRPr="00BF7955" w:rsidRDefault="008A3D6C" w:rsidP="00EE1C76">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Вовед </w:t>
      </w:r>
    </w:p>
    <w:p w:rsidR="008A3D6C" w:rsidRPr="00BF7955" w:rsidRDefault="008A3D6C" w:rsidP="00EE1C76">
      <w:pPr>
        <w:rPr>
          <w:rFonts w:ascii="StobiSerif Regular" w:hAnsi="StobiSerif Regular" w:cs="StobiSerif Regular"/>
          <w:b/>
          <w:bCs/>
          <w:color w:val="0070C0"/>
          <w:sz w:val="22"/>
          <w:szCs w:val="22"/>
          <w:lang w:val="mk-MK"/>
        </w:rPr>
      </w:pPr>
    </w:p>
    <w:p w:rsidR="008A3D6C" w:rsidRPr="00BF7955" w:rsidRDefault="008A3D6C" w:rsidP="00172833">
      <w:pPr>
        <w:pStyle w:val="BodyText3"/>
        <w:ind w:firstLine="720"/>
        <w:jc w:val="both"/>
        <w:rPr>
          <w:rFonts w:ascii="StobiSerif Regular" w:hAnsi="StobiSerif Regular" w:cs="StobiSerif Regular"/>
          <w:sz w:val="22"/>
          <w:szCs w:val="22"/>
          <w:lang w:val="mk-MK"/>
        </w:rPr>
      </w:pPr>
      <w:r w:rsidRPr="00BF7955">
        <w:rPr>
          <w:rFonts w:ascii="StobiSerif Regular" w:eastAsia="Arial Unicode MS" w:hAnsi="StobiSerif Regular" w:cs="StobiSerif Regular"/>
          <w:sz w:val="22"/>
          <w:szCs w:val="22"/>
          <w:lang w:val="mk-MK"/>
        </w:rPr>
        <w:t xml:space="preserve">Во текот на последните неколку години, Владата на Република Македонија посвети поголемо внимание на предизвиците за вработување со кои што се соочуваат младите лица (на возраст од 15 до 29 години) и на трошоците што му се наметнуваат на општеството од страна на невработеноста и подвработеноста на младите лица. Увидувајќи дека за решавањето на овој предизвик се потребни координирани и усогласени дејствија на владините агенции, социјалните партнери и организациите на граѓанското општество, во 2011 година Владата основаше формираше меѓуминистерска работна група за изготвување на првиот македонски Акциски план за вработување млади лица. Најголемиот дел од интервенциите во политиките што беа извршени преку овој Акциски план имаа мерлив ефект врз положбата на младите лица на пазарот на трудот. Со оглед на таквите позитивни резултати, Владата одлучи да донесе нов акциски план што ќе го опфати периодот од 2016 до 2020 година. </w:t>
      </w:r>
      <w:r w:rsidRPr="00BF7955">
        <w:rPr>
          <w:rFonts w:ascii="StobiSerif Regular" w:hAnsi="StobiSerif Regular" w:cs="StobiSerif Regular"/>
          <w:i/>
          <w:iCs/>
          <w:color w:val="000000"/>
          <w:sz w:val="22"/>
          <w:szCs w:val="22"/>
          <w:lang w:val="mk-MK"/>
        </w:rPr>
        <w:t>Национланиот Акциски план за вработување млади лица 2020</w:t>
      </w:r>
      <w:r w:rsidRPr="00BF7955">
        <w:rPr>
          <w:rFonts w:ascii="StobiSerif Regular" w:hAnsi="StobiSerif Regular" w:cs="StobiSerif Regular"/>
          <w:color w:val="000000"/>
          <w:sz w:val="22"/>
          <w:szCs w:val="22"/>
          <w:lang w:val="mk-MK"/>
        </w:rPr>
        <w:t>, што е претставен во овој документ и е изготвен со техничка помош од Меѓународната канцеларија на трудот, наведува три стратешки цели и повеќе клучни исходи што треба да се постигнат за унапредување на целосно, продуктивно и слободно избрано вработување за младите лица, поточно:</w:t>
      </w:r>
    </w:p>
    <w:p w:rsidR="008A3D6C" w:rsidRPr="00172833" w:rsidRDefault="008A3D6C" w:rsidP="00172833">
      <w:pPr>
        <w:ind w:firstLine="720"/>
        <w:jc w:val="both"/>
        <w:rPr>
          <w:rFonts w:ascii="StobiSerif Regular" w:hAnsi="StobiSerif Regular" w:cs="StobiSerif Regular"/>
          <w:sz w:val="22"/>
          <w:szCs w:val="22"/>
          <w:lang w:val="mk-MK"/>
        </w:rPr>
      </w:pPr>
      <w:r w:rsidRPr="00172833">
        <w:rPr>
          <w:rFonts w:ascii="StobiSerif Regular" w:hAnsi="StobiSerif Regular" w:cs="StobiSerif Regular"/>
          <w:b/>
          <w:bCs/>
          <w:sz w:val="22"/>
          <w:szCs w:val="22"/>
          <w:lang w:val="mk-MK"/>
        </w:rPr>
        <w:t>Подобрување на усогласувањето на понудата на вештини со барањата на пазарот на трудот</w:t>
      </w:r>
      <w:r w:rsidRPr="00172833">
        <w:rPr>
          <w:rFonts w:ascii="StobiSerif Regular" w:hAnsi="StobiSerif Regular" w:cs="StobiSerif Regular"/>
          <w:sz w:val="22"/>
          <w:szCs w:val="22"/>
          <w:lang w:val="mk-MK"/>
        </w:rPr>
        <w:t xml:space="preserve"> (преку развој на сеопфатен систем за предвидување на вештините што ќе ги обезбеди потребните информации за креирање на политиките, како и за младите лица при изборот на работата; подобрување на релевантноста на исходите од образованието за барањата на пазарот на трудот; интегрирање на наставата за кариерно насочување во училишните наставни планови и обезбедување квалитетно кариерно советување и насочување во клучните моменти во животот на младите луѓе); </w:t>
      </w:r>
    </w:p>
    <w:p w:rsidR="008A3D6C" w:rsidRPr="00BF7955" w:rsidRDefault="008A3D6C" w:rsidP="00172833">
      <w:pPr>
        <w:ind w:firstLine="720"/>
        <w:jc w:val="both"/>
        <w:rPr>
          <w:rFonts w:ascii="StobiSerif Regular" w:hAnsi="StobiSerif Regular" w:cs="StobiSerif Regular"/>
          <w:sz w:val="22"/>
          <w:szCs w:val="22"/>
          <w:lang w:val="mk-MK"/>
        </w:rPr>
      </w:pPr>
      <w:r w:rsidRPr="00BF7955">
        <w:rPr>
          <w:rFonts w:ascii="StobiSerif Regular" w:hAnsi="StobiSerif Regular" w:cs="StobiSerif Regular"/>
          <w:b/>
          <w:bCs/>
          <w:sz w:val="22"/>
          <w:szCs w:val="22"/>
          <w:lang w:val="mk-MK"/>
        </w:rPr>
        <w:t xml:space="preserve">Промовирање на отворањето работни места предводено од приватниот сектор </w:t>
      </w:r>
      <w:r w:rsidRPr="00BF7955">
        <w:rPr>
          <w:rFonts w:ascii="StobiSerif Regular" w:hAnsi="StobiSerif Regular" w:cs="StobiSerif Regular"/>
          <w:sz w:val="22"/>
          <w:szCs w:val="22"/>
          <w:lang w:val="mk-MK"/>
        </w:rPr>
        <w:t xml:space="preserve">(преку утврдување пакет од стимулации што вклучуваат: пристап до квалитетни услуги за вработување за претпријатијата што се вклучени во проекти за развој на инфраструктурата; проширување на постоечкиот систем на даночни олеснувања за унапредување на вработувањето на младите лица; и проширување на услугите за развој на деловното работење за зголемување на капацитетот на претпријатијата за пристап до достапните можности за финансирање). </w:t>
      </w:r>
    </w:p>
    <w:p w:rsidR="008A3D6C" w:rsidRPr="00172833" w:rsidRDefault="008A3D6C" w:rsidP="00172833">
      <w:pPr>
        <w:ind w:firstLine="720"/>
        <w:jc w:val="both"/>
        <w:rPr>
          <w:rFonts w:ascii="StobiSerif Regular" w:hAnsi="StobiSerif Regular" w:cs="StobiSerif Regular"/>
          <w:color w:val="000000"/>
          <w:sz w:val="22"/>
          <w:szCs w:val="22"/>
          <w:lang w:val="mk-MK"/>
        </w:rPr>
      </w:pPr>
      <w:r w:rsidRPr="00172833">
        <w:rPr>
          <w:rFonts w:ascii="StobiSerif Regular" w:hAnsi="StobiSerif Regular" w:cs="StobiSerif Regular"/>
          <w:b/>
          <w:bCs/>
          <w:sz w:val="22"/>
          <w:szCs w:val="22"/>
          <w:lang w:val="mk-MK"/>
        </w:rPr>
        <w:t xml:space="preserve">Олеснување на преминот на младите лица на работа </w:t>
      </w:r>
      <w:r w:rsidRPr="00172833">
        <w:rPr>
          <w:rFonts w:ascii="StobiSerif Regular" w:hAnsi="StobiSerif Regular" w:cs="StobiSerif Regular"/>
          <w:sz w:val="22"/>
          <w:szCs w:val="22"/>
          <w:lang w:val="mk-MK"/>
        </w:rPr>
        <w:t xml:space="preserve">(преку надградба на физичките, човечките и ИКТ ресурсите на АВРМ; приспособување на механизмите за спроведување и буџетските средства за активните политики на пазарот на трудот; развој на наменски линии на услуги за младите невработени лица, што ја вклучува програмата </w:t>
      </w:r>
      <w:r w:rsidRPr="00172833">
        <w:rPr>
          <w:rFonts w:ascii="StobiSerif Regular" w:hAnsi="StobiSerif Regular" w:cs="StobiSerif Regular"/>
          <w:i/>
          <w:iCs/>
          <w:sz w:val="22"/>
          <w:szCs w:val="22"/>
          <w:lang w:val="mk-MK"/>
        </w:rPr>
        <w:t>Старт за млади</w:t>
      </w:r>
      <w:r w:rsidRPr="00172833">
        <w:rPr>
          <w:rFonts w:ascii="StobiSerif Regular" w:hAnsi="StobiSerif Regular" w:cs="StobiSerif Regular"/>
          <w:sz w:val="22"/>
          <w:szCs w:val="22"/>
          <w:lang w:val="mk-MK"/>
        </w:rPr>
        <w:t>; и преку воведување подобри услуги за работодавачите).</w:t>
      </w:r>
    </w:p>
    <w:p w:rsidR="008A3D6C" w:rsidRPr="00BF7955" w:rsidRDefault="008A3D6C" w:rsidP="00F04D92">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sz w:val="22"/>
          <w:szCs w:val="22"/>
          <w:lang w:val="mk-MK"/>
        </w:rPr>
        <w:t xml:space="preserve">Временската рамка на </w:t>
      </w:r>
      <w:r w:rsidRPr="00BF7955">
        <w:rPr>
          <w:rFonts w:ascii="StobiSerif Regular" w:hAnsi="StobiSerif Regular" w:cs="StobiSerif Regular"/>
          <w:i/>
          <w:iCs/>
          <w:sz w:val="22"/>
          <w:szCs w:val="22"/>
          <w:lang w:val="mk-MK"/>
        </w:rPr>
        <w:t>Националниот</w:t>
      </w:r>
      <w:r w:rsidRPr="00BF7955">
        <w:rPr>
          <w:rFonts w:ascii="StobiSerif Regular" w:hAnsi="StobiSerif Regular" w:cs="StobiSerif Regular"/>
          <w:sz w:val="22"/>
          <w:szCs w:val="22"/>
          <w:lang w:val="mk-MK"/>
        </w:rPr>
        <w:t xml:space="preserve"> </w:t>
      </w:r>
      <w:r w:rsidRPr="00BF7955">
        <w:rPr>
          <w:rFonts w:ascii="StobiSerif Regular" w:hAnsi="StobiSerif Regular" w:cs="StobiSerif Regular"/>
          <w:i/>
          <w:iCs/>
          <w:sz w:val="22"/>
          <w:szCs w:val="22"/>
          <w:lang w:val="mk-MK"/>
        </w:rPr>
        <w:t>Акциски план за вработување млади лица</w:t>
      </w:r>
      <w:r w:rsidRPr="00BF7955">
        <w:rPr>
          <w:rFonts w:ascii="StobiSerif Regular" w:hAnsi="StobiSerif Regular" w:cs="StobiSerif Regular"/>
          <w:sz w:val="22"/>
          <w:szCs w:val="22"/>
          <w:lang w:val="mk-MK"/>
        </w:rPr>
        <w:t xml:space="preserve"> е пет години (2016-2020 г.). Вкупните трошоци се проценети на приближно 31 милиони евра. Речиси 17 милиони евра се веќе обезбедени и буџетирани преку мерките од политиката што се испланирани од страна на Владата, или преку инструментот за претпристапна помош на ЕУ, или преку проектите за техничка соработка што се финансирани од донатори. Вкупниот број млади лица таргетирани од интервенциите што се воведуваат со </w:t>
      </w:r>
      <w:r w:rsidRPr="00BF7955">
        <w:rPr>
          <w:rFonts w:ascii="StobiSerif Regular" w:hAnsi="StobiSerif Regular" w:cs="StobiSerif Regular"/>
          <w:i/>
          <w:iCs/>
          <w:sz w:val="22"/>
          <w:szCs w:val="22"/>
          <w:lang w:val="mk-MK"/>
        </w:rPr>
        <w:t>Националниот</w:t>
      </w:r>
      <w:r w:rsidRPr="00BF7955">
        <w:rPr>
          <w:rFonts w:ascii="StobiSerif Regular" w:hAnsi="StobiSerif Regular" w:cs="StobiSerif Regular"/>
          <w:sz w:val="22"/>
          <w:szCs w:val="22"/>
          <w:lang w:val="mk-MK"/>
        </w:rPr>
        <w:t xml:space="preserve"> </w:t>
      </w:r>
      <w:r w:rsidRPr="00BF7955">
        <w:rPr>
          <w:rFonts w:ascii="StobiSerif Regular" w:hAnsi="StobiSerif Regular" w:cs="StobiSerif Regular"/>
          <w:i/>
          <w:iCs/>
          <w:sz w:val="22"/>
          <w:szCs w:val="22"/>
          <w:lang w:val="mk-MK"/>
        </w:rPr>
        <w:t>Акциски план за вработување млади лица</w:t>
      </w:r>
      <w:r w:rsidRPr="00BF7955">
        <w:rPr>
          <w:rFonts w:ascii="StobiSerif Regular" w:hAnsi="StobiSerif Regular" w:cs="StobiSerif Regular"/>
          <w:sz w:val="22"/>
          <w:szCs w:val="22"/>
          <w:lang w:val="mk-MK"/>
        </w:rPr>
        <w:t xml:space="preserve"> </w:t>
      </w:r>
      <w:r w:rsidRPr="00BF7955">
        <w:rPr>
          <w:rFonts w:ascii="StobiSerif Regular" w:hAnsi="StobiSerif Regular" w:cs="StobiSerif Regular"/>
          <w:i/>
          <w:iCs/>
          <w:sz w:val="22"/>
          <w:szCs w:val="22"/>
          <w:lang w:val="mk-MK"/>
        </w:rPr>
        <w:t>2020</w:t>
      </w:r>
      <w:r w:rsidRPr="00BF7955">
        <w:rPr>
          <w:rFonts w:ascii="StobiSerif Regular" w:hAnsi="StobiSerif Regular" w:cs="StobiSerif Regular"/>
          <w:sz w:val="22"/>
          <w:szCs w:val="22"/>
          <w:lang w:val="mk-MK"/>
        </w:rPr>
        <w:t xml:space="preserve"> е приближно 200.000 млади мажи и жени (што е приближно еднакво на 42 проценти од вкупното младо население на возраст од 15 до 29 години).</w:t>
      </w:r>
    </w:p>
    <w:p w:rsidR="008A3D6C" w:rsidRPr="00BF7955" w:rsidRDefault="008A3D6C" w:rsidP="00F04D92">
      <w:pPr>
        <w:jc w:val="both"/>
        <w:rPr>
          <w:rFonts w:ascii="StobiSerif Regular" w:hAnsi="StobiSerif Regular" w:cs="StobiSerif Regular"/>
          <w:b/>
          <w:bCs/>
          <w:color w:val="0070C0"/>
          <w:sz w:val="22"/>
          <w:szCs w:val="22"/>
          <w:lang w:val="mk-MK"/>
        </w:rPr>
        <w:sectPr w:rsidR="008A3D6C" w:rsidRPr="00BF7955" w:rsidSect="00E73238">
          <w:footerReference w:type="default" r:id="rId7"/>
          <w:footerReference w:type="first" r:id="rId8"/>
          <w:pgSz w:w="12240" w:h="15840" w:code="1"/>
          <w:pgMar w:top="1440" w:right="1797" w:bottom="1440" w:left="1797" w:header="709" w:footer="709" w:gutter="0"/>
          <w:pgNumType w:fmt="lowerRoman" w:start="1"/>
          <w:cols w:space="708"/>
          <w:titlePg/>
          <w:docGrid w:linePitch="360"/>
        </w:sectPr>
      </w:pPr>
    </w:p>
    <w:p w:rsidR="008A3D6C" w:rsidRPr="00BF7955" w:rsidRDefault="008A3D6C" w:rsidP="00EE1C76">
      <w:pPr>
        <w:rPr>
          <w:rFonts w:ascii="StobiSerif Regular" w:hAnsi="StobiSerif Regular" w:cs="StobiSerif Regular"/>
          <w:b/>
          <w:bCs/>
          <w:color w:val="0070C0"/>
          <w:sz w:val="22"/>
          <w:szCs w:val="22"/>
          <w:lang w:val="mk-MK"/>
        </w:rPr>
      </w:pPr>
    </w:p>
    <w:p w:rsidR="008A3D6C" w:rsidRPr="00BF7955" w:rsidRDefault="008A3D6C" w:rsidP="00BF7955">
      <w:pPr>
        <w:pStyle w:val="Title"/>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ДЕЛ I – СИТУАЦИСКА АНАЛИЗА</w:t>
      </w:r>
    </w:p>
    <w:p w:rsidR="008A3D6C" w:rsidRPr="00BF7955" w:rsidRDefault="008A3D6C" w:rsidP="00BF7955">
      <w:pPr>
        <w:pStyle w:val="Title"/>
        <w:rPr>
          <w:rFonts w:ascii="StobiSerif Regular" w:hAnsi="StobiSerif Regular" w:cs="StobiSerif Regular"/>
          <w:b/>
          <w:bCs/>
          <w:color w:val="0070C0"/>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1. Преглед на социјалниот и економскиот контекст </w:t>
      </w:r>
    </w:p>
    <w:p w:rsidR="008A3D6C" w:rsidRPr="00BF7955" w:rsidRDefault="008A3D6C" w:rsidP="006B079E">
      <w:pPr>
        <w:pStyle w:val="BodyText"/>
        <w:ind w:firstLine="720"/>
        <w:rPr>
          <w:rFonts w:ascii="StobiSerif Regular" w:eastAsia="TTE2844728t00" w:hAnsi="StobiSerif Regular" w:cs="StobiSerif Regular"/>
          <w:sz w:val="22"/>
          <w:szCs w:val="22"/>
          <w:lang w:val="mk-MK"/>
        </w:rPr>
      </w:pPr>
      <w:r w:rsidRPr="00BF7955">
        <w:rPr>
          <w:rFonts w:ascii="StobiSerif Regular" w:hAnsi="StobiSerif Regular" w:cs="StobiSerif Regular"/>
          <w:sz w:val="22"/>
          <w:szCs w:val="22"/>
          <w:lang w:val="mk-MK"/>
        </w:rPr>
        <w:t>Во периодот од 2011 до 2014 година, економската активност се зголемила за приближно 3 проценти годишно (со исклучок на 2012 година). Економскиот раст главно бил поттикнат од повисоките бруто инвестиции и, во поново време, од зголемувањето на приватната потрошувачка и на извозот.</w:t>
      </w:r>
      <w:r w:rsidRPr="00BF7955">
        <w:rPr>
          <w:rFonts w:ascii="StobiSerif Regular" w:eastAsia="SimSun" w:hAnsi="StobiSerif Regular" w:cs="StobiSerif Regular"/>
          <w:color w:val="000000"/>
          <w:sz w:val="22"/>
          <w:szCs w:val="22"/>
          <w:lang w:val="mk-MK"/>
        </w:rPr>
        <w:t xml:space="preserve"> </w:t>
      </w:r>
      <w:r w:rsidRPr="00BF7955">
        <w:rPr>
          <w:rFonts w:ascii="StobiSerif Regular" w:eastAsia="TTE2844728t00" w:hAnsi="StobiSerif Regular" w:cs="StobiSerif Regular"/>
          <w:sz w:val="22"/>
          <w:szCs w:val="22"/>
          <w:lang w:val="mk-MK"/>
        </w:rPr>
        <w:t xml:space="preserve">Во годините по економската криза, Македонија одржувала претпазлива фискална политика, што го задржала зголемувањето на буџетскиот дефицит на приближно 3.8 проценти од БДП (Табела 1). </w:t>
      </w:r>
    </w:p>
    <w:p w:rsidR="008A3D6C" w:rsidRPr="00BF7955" w:rsidRDefault="008A3D6C" w:rsidP="00EE1C76">
      <w:pPr>
        <w:rPr>
          <w:rFonts w:ascii="StobiSerif Regular" w:hAnsi="StobiSerif Regular" w:cs="StobiSerif Regular"/>
          <w:color w:val="000000"/>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Табела 1: Клучни макроекономски</w:t>
      </w:r>
      <w:r>
        <w:rPr>
          <w:rFonts w:ascii="StobiSerif Regular" w:hAnsi="StobiSerif Regular" w:cs="StobiSerif Regular"/>
          <w:b/>
          <w:bCs/>
          <w:color w:val="0070C0"/>
          <w:sz w:val="22"/>
          <w:szCs w:val="22"/>
          <w:lang w:val="mk-MK"/>
        </w:rPr>
        <w:t xml:space="preserve"> индикатори</w:t>
      </w:r>
      <w:r w:rsidRPr="00BF7955">
        <w:rPr>
          <w:rFonts w:ascii="StobiSerif Regular" w:hAnsi="StobiSerif Regular" w:cs="StobiSerif Regular"/>
          <w:b/>
          <w:bCs/>
          <w:color w:val="0070C0"/>
          <w:sz w:val="22"/>
          <w:szCs w:val="22"/>
          <w:lang w:val="mk-MK"/>
        </w:rPr>
        <w:t>, Македонија (2011-2014 г.)</w:t>
      </w:r>
    </w:p>
    <w:tbl>
      <w:tblPr>
        <w:tblW w:w="6736" w:type="dxa"/>
        <w:jc w:val="center"/>
        <w:tblBorders>
          <w:top w:val="single" w:sz="12" w:space="0" w:color="8DB3E2"/>
          <w:left w:val="single" w:sz="12" w:space="0" w:color="8DB3E2"/>
          <w:bottom w:val="single" w:sz="12" w:space="0" w:color="8DB3E2"/>
          <w:right w:val="single" w:sz="12" w:space="0" w:color="8DB3E2"/>
        </w:tblBorders>
        <w:tblLayout w:type="fixed"/>
        <w:tblLook w:val="00A0"/>
      </w:tblPr>
      <w:tblGrid>
        <w:gridCol w:w="3482"/>
        <w:gridCol w:w="813"/>
        <w:gridCol w:w="813"/>
        <w:gridCol w:w="814"/>
        <w:gridCol w:w="814"/>
      </w:tblGrid>
      <w:tr w:rsidR="008A3D6C" w:rsidRPr="00BF7955">
        <w:trPr>
          <w:jc w:val="center"/>
        </w:trPr>
        <w:tc>
          <w:tcPr>
            <w:tcW w:w="3482" w:type="dxa"/>
            <w:tcBorders>
              <w:top w:val="single" w:sz="12" w:space="0" w:color="8DB3E2"/>
              <w:bottom w:val="single" w:sz="12" w:space="0" w:color="8DB3E2"/>
            </w:tcBorders>
            <w:shd w:val="clear" w:color="auto" w:fill="C6D9F1"/>
            <w:noWrap/>
            <w:vAlign w:val="center"/>
          </w:tcPr>
          <w:p w:rsidR="008A3D6C" w:rsidRPr="00BF7955" w:rsidRDefault="008A3D6C" w:rsidP="00E73238">
            <w:pPr>
              <w:rPr>
                <w:rFonts w:ascii="StobiSerif Regular" w:hAnsi="StobiSerif Regular" w:cs="StobiSerif Regular"/>
                <w:i/>
                <w:iCs/>
                <w:lang w:val="mk-MK"/>
              </w:rPr>
            </w:pPr>
          </w:p>
        </w:tc>
        <w:tc>
          <w:tcPr>
            <w:tcW w:w="813" w:type="dxa"/>
            <w:tcBorders>
              <w:top w:val="single" w:sz="12" w:space="0" w:color="8DB3E2"/>
              <w:bottom w:val="single" w:sz="12" w:space="0" w:color="8DB3E2"/>
            </w:tcBorders>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2011</w:t>
            </w:r>
          </w:p>
        </w:tc>
        <w:tc>
          <w:tcPr>
            <w:tcW w:w="813" w:type="dxa"/>
            <w:tcBorders>
              <w:top w:val="single" w:sz="12" w:space="0" w:color="8DB3E2"/>
              <w:bottom w:val="single" w:sz="12" w:space="0" w:color="8DB3E2"/>
            </w:tcBorders>
            <w:shd w:val="clear" w:color="auto" w:fill="C6D9F1"/>
            <w:noWrap/>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2012</w:t>
            </w:r>
          </w:p>
        </w:tc>
        <w:tc>
          <w:tcPr>
            <w:tcW w:w="814" w:type="dxa"/>
            <w:tcBorders>
              <w:top w:val="single" w:sz="12" w:space="0" w:color="8DB3E2"/>
              <w:bottom w:val="single" w:sz="12" w:space="0" w:color="8DB3E2"/>
            </w:tcBorders>
            <w:shd w:val="clear" w:color="auto" w:fill="C6D9F1"/>
            <w:vAlign w:val="center"/>
          </w:tcPr>
          <w:p w:rsidR="008A3D6C" w:rsidRPr="00BF7955" w:rsidDel="003C6C28"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2013</w:t>
            </w:r>
          </w:p>
        </w:tc>
        <w:tc>
          <w:tcPr>
            <w:tcW w:w="814" w:type="dxa"/>
            <w:tcBorders>
              <w:top w:val="single" w:sz="12" w:space="0" w:color="8DB3E2"/>
              <w:bottom w:val="single" w:sz="12" w:space="0" w:color="8DB3E2"/>
            </w:tcBorders>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2014</w:t>
            </w:r>
          </w:p>
        </w:tc>
      </w:tr>
      <w:tr w:rsidR="008A3D6C" w:rsidRPr="00BF7955">
        <w:trPr>
          <w:jc w:val="center"/>
        </w:trPr>
        <w:tc>
          <w:tcPr>
            <w:tcW w:w="3482" w:type="dxa"/>
            <w:tcBorders>
              <w:top w:val="single" w:sz="12" w:space="0" w:color="8DB3E2"/>
              <w:bottom w:val="single" w:sz="6" w:space="0" w:color="8DB3E2"/>
              <w:right w:val="single" w:sz="6" w:space="0" w:color="8DB3E2"/>
            </w:tcBorders>
            <w:noWrap/>
            <w:vAlign w:val="center"/>
          </w:tcPr>
          <w:p w:rsidR="008A3D6C" w:rsidRPr="00BF7955" w:rsidRDefault="008A3D6C" w:rsidP="00E73238">
            <w:pPr>
              <w:rPr>
                <w:rFonts w:ascii="StobiSerif Regular" w:hAnsi="StobiSerif Regular" w:cs="StobiSerif Regular"/>
                <w:lang w:val="mk-MK"/>
              </w:rPr>
            </w:pPr>
            <w:r>
              <w:rPr>
                <w:rFonts w:ascii="StobiSerif Regular" w:hAnsi="StobiSerif Regular" w:cs="StobiSerif Regular"/>
                <w:color w:val="000000"/>
                <w:sz w:val="22"/>
                <w:szCs w:val="22"/>
                <w:lang w:val="mk-MK"/>
              </w:rPr>
              <w:t>Реална стапка  на</w:t>
            </w:r>
            <w:r w:rsidRPr="00BF7955">
              <w:rPr>
                <w:rFonts w:ascii="StobiSerif Regular" w:hAnsi="StobiSerif Regular" w:cs="StobiSerif Regular"/>
                <w:color w:val="000000"/>
                <w:sz w:val="22"/>
                <w:szCs w:val="22"/>
                <w:lang w:val="mk-MK"/>
              </w:rPr>
              <w:t xml:space="preserve"> раст на БДП (% на промена)</w:t>
            </w:r>
          </w:p>
        </w:tc>
        <w:tc>
          <w:tcPr>
            <w:tcW w:w="813" w:type="dxa"/>
            <w:tcBorders>
              <w:top w:val="single" w:sz="12"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2,3</w:t>
            </w:r>
          </w:p>
        </w:tc>
        <w:tc>
          <w:tcPr>
            <w:tcW w:w="813" w:type="dxa"/>
            <w:tcBorders>
              <w:top w:val="single" w:sz="12"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-0,5</w:t>
            </w:r>
          </w:p>
        </w:tc>
        <w:tc>
          <w:tcPr>
            <w:tcW w:w="814" w:type="dxa"/>
            <w:tcBorders>
              <w:top w:val="single" w:sz="12"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2,7</w:t>
            </w:r>
          </w:p>
        </w:tc>
        <w:tc>
          <w:tcPr>
            <w:tcW w:w="814" w:type="dxa"/>
            <w:tcBorders>
              <w:top w:val="single" w:sz="12"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3,8</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Домашна побарувачка (% на промена)</w:t>
            </w:r>
            <w:r w:rsidRPr="00BF7955">
              <w:rPr>
                <w:rFonts w:ascii="StobiSerif Regular" w:hAnsi="StobiSerif Regular" w:cs="StobiSerif Regular"/>
                <w:sz w:val="22"/>
                <w:szCs w:val="22"/>
                <w:vertAlign w:val="superscript"/>
                <w:lang w:val="mk-MK"/>
              </w:rPr>
              <w:t>*</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0,6</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2,6</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1,5</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3,5</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i/>
                <w:iCs/>
                <w:lang w:val="mk-MK"/>
              </w:rPr>
            </w:pPr>
            <w:r w:rsidRPr="00BF7955">
              <w:rPr>
                <w:rFonts w:ascii="StobiSerif Regular" w:hAnsi="StobiSerif Regular" w:cs="StobiSerif Regular"/>
                <w:i/>
                <w:iCs/>
                <w:sz w:val="22"/>
                <w:szCs w:val="22"/>
                <w:lang w:val="mk-MK"/>
              </w:rPr>
              <w:t>Приватна</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-5,0</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0,3</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-0,3</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3,5</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i/>
                <w:iCs/>
                <w:lang w:val="mk-MK"/>
              </w:rPr>
            </w:pPr>
            <w:r w:rsidRPr="00BF7955">
              <w:rPr>
                <w:rFonts w:ascii="StobiSerif Regular" w:hAnsi="StobiSerif Regular" w:cs="StobiSerif Regular"/>
                <w:i/>
                <w:iCs/>
                <w:sz w:val="22"/>
                <w:szCs w:val="22"/>
                <w:lang w:val="mk-MK"/>
              </w:rPr>
              <w:t xml:space="preserve">Јавна </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1,6</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1,6</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3,2</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-0,8</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Бруто инвестиции (% од БДП)</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26,9</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28,9</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color w:val="000000"/>
                <w:sz w:val="22"/>
                <w:szCs w:val="22"/>
                <w:lang w:val="mk-MK"/>
              </w:rPr>
              <w:t>28,5</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color w:val="000000"/>
                <w:sz w:val="22"/>
                <w:szCs w:val="22"/>
                <w:lang w:val="mk-MK"/>
              </w:rPr>
              <w:t>29,8</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Извоз</w:t>
            </w:r>
            <w:r>
              <w:rPr>
                <w:rFonts w:ascii="StobiSerif Regular" w:hAnsi="StobiSerif Regular" w:cs="StobiSerif Regular"/>
                <w:sz w:val="22"/>
                <w:szCs w:val="22"/>
                <w:lang w:val="mk-MK"/>
              </w:rPr>
              <w:t xml:space="preserve"> на стоки</w:t>
            </w:r>
            <w:r w:rsidRPr="00BF7955">
              <w:rPr>
                <w:rFonts w:ascii="StobiSerif Regular" w:hAnsi="StobiSerif Regular" w:cs="StobiSerif Regular"/>
                <w:sz w:val="22"/>
                <w:szCs w:val="22"/>
                <w:lang w:val="mk-MK"/>
              </w:rPr>
              <w:t xml:space="preserve"> (год. % на промена)</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26,8</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-2,8</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color w:val="000000"/>
                <w:sz w:val="22"/>
                <w:szCs w:val="22"/>
                <w:lang w:val="mk-MK"/>
              </w:rPr>
              <w:t>3,6</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color w:val="000000"/>
                <w:sz w:val="22"/>
                <w:szCs w:val="22"/>
                <w:lang w:val="mk-MK"/>
              </w:rPr>
              <w:t>15,1</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Увоз</w:t>
            </w:r>
            <w:r>
              <w:rPr>
                <w:rFonts w:ascii="StobiSerif Regular" w:hAnsi="StobiSerif Regular" w:cs="StobiSerif Regular"/>
                <w:sz w:val="22"/>
                <w:szCs w:val="22"/>
                <w:lang w:val="mk-MK"/>
              </w:rPr>
              <w:t xml:space="preserve"> на стоки</w:t>
            </w:r>
            <w:r w:rsidRPr="00BF7955">
              <w:rPr>
                <w:rFonts w:ascii="StobiSerif Regular" w:hAnsi="StobiSerif Regular" w:cs="StobiSerif Regular"/>
                <w:sz w:val="22"/>
                <w:szCs w:val="22"/>
                <w:lang w:val="mk-MK"/>
              </w:rPr>
              <w:t xml:space="preserve"> (год. % на промена)</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22,1</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0,3</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-1,7</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10,1</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E73238">
            <w:pPr>
              <w:rPr>
                <w:rFonts w:ascii="StobiSerif Regular" w:hAnsi="StobiSerif Regular" w:cs="StobiSerif Regular"/>
                <w:lang w:val="mk-MK"/>
              </w:rPr>
            </w:pPr>
            <w:r>
              <w:rPr>
                <w:rFonts w:ascii="StobiSerif Regular" w:hAnsi="StobiSerif Regular" w:cs="StobiSerif Regular"/>
                <w:sz w:val="22"/>
                <w:szCs w:val="22"/>
                <w:lang w:val="mk-MK"/>
              </w:rPr>
              <w:t>Буџетски дефицит/суфицит</w:t>
            </w:r>
            <w:bookmarkStart w:id="0" w:name="_GoBack"/>
            <w:bookmarkEnd w:id="0"/>
            <w:r w:rsidRPr="00BF7955">
              <w:rPr>
                <w:rFonts w:ascii="StobiSerif Regular" w:hAnsi="StobiSerif Regular" w:cs="StobiSerif Regular"/>
                <w:sz w:val="22"/>
                <w:szCs w:val="22"/>
                <w:lang w:val="mk-MK"/>
              </w:rPr>
              <w:t xml:space="preserve"> (% од БДП)</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-2,5</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-3,8</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-3,9</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-3,8</w:t>
            </w:r>
          </w:p>
        </w:tc>
      </w:tr>
      <w:tr w:rsidR="008A3D6C" w:rsidRPr="00BF7955">
        <w:trPr>
          <w:jc w:val="center"/>
        </w:trPr>
        <w:tc>
          <w:tcPr>
            <w:tcW w:w="3482" w:type="dxa"/>
            <w:tcBorders>
              <w:top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i/>
                <w:iCs/>
                <w:lang w:val="mk-MK"/>
              </w:rPr>
            </w:pPr>
            <w:r>
              <w:rPr>
                <w:rFonts w:ascii="StobiSerif Regular" w:hAnsi="StobiSerif Regular" w:cs="StobiSerif Regular"/>
                <w:i/>
                <w:iCs/>
                <w:sz w:val="22"/>
                <w:szCs w:val="22"/>
                <w:lang w:val="mk-MK"/>
              </w:rPr>
              <w:t xml:space="preserve">Вкупни </w:t>
            </w:r>
            <w:r w:rsidRPr="00BF7955">
              <w:rPr>
                <w:rFonts w:ascii="StobiSerif Regular" w:hAnsi="StobiSerif Regular" w:cs="StobiSerif Regular"/>
                <w:i/>
                <w:iCs/>
                <w:sz w:val="22"/>
                <w:szCs w:val="22"/>
                <w:lang w:val="mk-MK"/>
              </w:rPr>
              <w:t>Приходи</w:t>
            </w:r>
          </w:p>
        </w:tc>
        <w:tc>
          <w:tcPr>
            <w:tcW w:w="813"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29,4</w:t>
            </w:r>
          </w:p>
        </w:tc>
        <w:tc>
          <w:tcPr>
            <w:tcW w:w="813" w:type="dxa"/>
            <w:tcBorders>
              <w:top w:val="single" w:sz="6" w:space="0" w:color="8DB3E2"/>
              <w:left w:val="single" w:sz="6" w:space="0" w:color="8DB3E2"/>
              <w:bottom w:val="single" w:sz="6"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29,4</w:t>
            </w:r>
          </w:p>
        </w:tc>
        <w:tc>
          <w:tcPr>
            <w:tcW w:w="814" w:type="dxa"/>
            <w:tcBorders>
              <w:top w:val="single" w:sz="6" w:space="0" w:color="8DB3E2"/>
              <w:left w:val="single" w:sz="6" w:space="0" w:color="8DB3E2"/>
              <w:bottom w:val="single" w:sz="6"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28,0</w:t>
            </w:r>
          </w:p>
        </w:tc>
        <w:tc>
          <w:tcPr>
            <w:tcW w:w="814" w:type="dxa"/>
            <w:tcBorders>
              <w:top w:val="single" w:sz="6" w:space="0" w:color="8DB3E2"/>
              <w:left w:val="single" w:sz="6" w:space="0" w:color="8DB3E2"/>
              <w:bottom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28,7</w:t>
            </w:r>
          </w:p>
        </w:tc>
      </w:tr>
      <w:tr w:rsidR="008A3D6C" w:rsidRPr="00BF7955">
        <w:trPr>
          <w:jc w:val="center"/>
        </w:trPr>
        <w:tc>
          <w:tcPr>
            <w:tcW w:w="3482" w:type="dxa"/>
            <w:tcBorders>
              <w:top w:val="single" w:sz="6" w:space="0" w:color="8DB3E2"/>
              <w:bottom w:val="single" w:sz="12" w:space="0" w:color="8DB3E2"/>
              <w:right w:val="single" w:sz="6" w:space="0" w:color="8DB3E2"/>
            </w:tcBorders>
            <w:noWrap/>
            <w:vAlign w:val="center"/>
          </w:tcPr>
          <w:p w:rsidR="008A3D6C" w:rsidRPr="00BF7955" w:rsidRDefault="008A3D6C" w:rsidP="00BF7955">
            <w:pPr>
              <w:rPr>
                <w:rFonts w:ascii="StobiSerif Regular" w:hAnsi="StobiSerif Regular" w:cs="StobiSerif Regular"/>
                <w:i/>
                <w:iCs/>
                <w:lang w:val="mk-MK"/>
              </w:rPr>
            </w:pPr>
            <w:r>
              <w:rPr>
                <w:rFonts w:ascii="StobiSerif Regular" w:hAnsi="StobiSerif Regular" w:cs="StobiSerif Regular"/>
                <w:i/>
                <w:iCs/>
                <w:sz w:val="22"/>
                <w:szCs w:val="22"/>
                <w:lang w:val="mk-MK"/>
              </w:rPr>
              <w:t xml:space="preserve">Вкупни </w:t>
            </w:r>
            <w:r w:rsidRPr="00BF7955">
              <w:rPr>
                <w:rFonts w:ascii="StobiSerif Regular" w:hAnsi="StobiSerif Regular" w:cs="StobiSerif Regular"/>
                <w:i/>
                <w:iCs/>
                <w:sz w:val="22"/>
                <w:szCs w:val="22"/>
                <w:lang w:val="mk-MK"/>
              </w:rPr>
              <w:t xml:space="preserve">Расходи </w:t>
            </w:r>
          </w:p>
        </w:tc>
        <w:tc>
          <w:tcPr>
            <w:tcW w:w="813" w:type="dxa"/>
            <w:tcBorders>
              <w:top w:val="single" w:sz="6" w:space="0" w:color="8DB3E2"/>
              <w:left w:val="single" w:sz="6" w:space="0" w:color="8DB3E2"/>
              <w:bottom w:val="single" w:sz="12" w:space="0" w:color="8DB3E2"/>
              <w:right w:val="single" w:sz="6" w:space="0" w:color="8DB3E2"/>
            </w:tcBorders>
            <w:vAlign w:val="center"/>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color w:val="000000"/>
                <w:sz w:val="22"/>
                <w:szCs w:val="22"/>
                <w:lang w:val="mk-MK"/>
              </w:rPr>
              <w:t>31,9</w:t>
            </w:r>
          </w:p>
        </w:tc>
        <w:tc>
          <w:tcPr>
            <w:tcW w:w="813" w:type="dxa"/>
            <w:tcBorders>
              <w:top w:val="single" w:sz="6" w:space="0" w:color="8DB3E2"/>
              <w:left w:val="single" w:sz="6" w:space="0" w:color="8DB3E2"/>
              <w:bottom w:val="single" w:sz="12" w:space="0" w:color="8DB3E2"/>
              <w:right w:val="single" w:sz="6" w:space="0" w:color="8DB3E2"/>
            </w:tcBorders>
            <w:noWrap/>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33,3</w:t>
            </w:r>
          </w:p>
        </w:tc>
        <w:tc>
          <w:tcPr>
            <w:tcW w:w="814" w:type="dxa"/>
            <w:tcBorders>
              <w:top w:val="single" w:sz="6" w:space="0" w:color="8DB3E2"/>
              <w:left w:val="single" w:sz="6" w:space="0" w:color="8DB3E2"/>
              <w:bottom w:val="single" w:sz="12" w:space="0" w:color="8DB3E2"/>
              <w:right w:val="single" w:sz="6"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31,8</w:t>
            </w:r>
          </w:p>
        </w:tc>
        <w:tc>
          <w:tcPr>
            <w:tcW w:w="814" w:type="dxa"/>
            <w:tcBorders>
              <w:top w:val="single" w:sz="6" w:space="0" w:color="8DB3E2"/>
              <w:left w:val="single" w:sz="6" w:space="0" w:color="8DB3E2"/>
              <w:bottom w:val="single" w:sz="12" w:space="0" w:color="8DB3E2"/>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32,5</w:t>
            </w:r>
          </w:p>
        </w:tc>
      </w:tr>
    </w:tbl>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i/>
          <w:iCs/>
          <w:sz w:val="22"/>
          <w:szCs w:val="22"/>
          <w:lang w:val="mk-MK"/>
        </w:rPr>
        <w:t>Извор:</w:t>
      </w:r>
      <w:r w:rsidRPr="00BF7955">
        <w:rPr>
          <w:rFonts w:ascii="StobiSerif Regular" w:hAnsi="StobiSerif Regular" w:cs="StobiSerif Regular"/>
          <w:sz w:val="22"/>
          <w:szCs w:val="22"/>
          <w:lang w:val="mk-MK"/>
        </w:rPr>
        <w:t xml:space="preserve"> Министерство за финансии, </w:t>
      </w:r>
      <w:r w:rsidRPr="00BF7955">
        <w:rPr>
          <w:rFonts w:ascii="StobiSerif Regular" w:hAnsi="StobiSerif Regular" w:cs="StobiSerif Regular"/>
          <w:i/>
          <w:iCs/>
          <w:sz w:val="22"/>
          <w:szCs w:val="22"/>
          <w:lang w:val="mk-MK"/>
        </w:rPr>
        <w:t xml:space="preserve">Макроекономски показатели, </w:t>
      </w:r>
      <w:r w:rsidRPr="00BF7955">
        <w:rPr>
          <w:rFonts w:ascii="StobiSerif Regular" w:hAnsi="StobiSerif Regular" w:cs="StobiSerif Regular"/>
          <w:sz w:val="22"/>
          <w:szCs w:val="22"/>
          <w:lang w:val="mk-MK"/>
        </w:rPr>
        <w:t>(</w:t>
      </w:r>
      <w:hyperlink r:id="rId9" w:history="1">
        <w:r w:rsidRPr="00BF7955">
          <w:rPr>
            <w:rStyle w:val="Hyperlink"/>
            <w:rFonts w:ascii="StobiSerif Regular" w:hAnsi="StobiSerif Regular" w:cs="StobiSerif Regular"/>
            <w:sz w:val="22"/>
            <w:szCs w:val="22"/>
            <w:lang w:val="mk-MK"/>
          </w:rPr>
          <w:t>http://www.finance.gov.mk</w:t>
        </w:r>
      </w:hyperlink>
      <w:r w:rsidRPr="00BF7955">
        <w:rPr>
          <w:rFonts w:ascii="StobiSerif Regular" w:hAnsi="StobiSerif Regular" w:cs="StobiSerif Regular"/>
          <w:sz w:val="22"/>
          <w:szCs w:val="22"/>
          <w:lang w:val="mk-MK"/>
        </w:rPr>
        <w:t>); Меѓународен монетарен фонд (ММФ), Национален извештај N015/18.</w:t>
      </w:r>
    </w:p>
    <w:p w:rsidR="008A3D6C" w:rsidRPr="00BF7955" w:rsidRDefault="008A3D6C" w:rsidP="00BF7955">
      <w:pPr>
        <w:rPr>
          <w:rFonts w:ascii="StobiSerif Regular" w:hAnsi="StobiSerif Regular" w:cs="StobiSerif Regular"/>
          <w:sz w:val="22"/>
          <w:szCs w:val="22"/>
          <w:lang w:val="mk-MK" w:eastAsia="en-GB"/>
        </w:rPr>
      </w:pPr>
    </w:p>
    <w:p w:rsidR="008A3D6C" w:rsidRPr="00BF7955" w:rsidRDefault="008A3D6C" w:rsidP="00F04D92">
      <w:pPr>
        <w:ind w:firstLine="720"/>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Малите и средните претпријатија (МСП) го претставуваат речиси вкупниот број на претпријатија (99,7 проценти во 2014 година) и вработуваат речиси 78 проценти од сите работници. Микро претпријатијата (друштва со помалку од 10 вработени) претставуваат 91 процент од сите претпријатија; тие вработуваат приближно 34 проценти од сите работници и создаваат 24 проценти од додадената вредност. Најголемиот број претпријатија работат во трговскиот сектор (43,7 проценти од сите претпријатија, вработуваат 27 проценти од сите работници и создаваат 44 проценти од вкупниот обрт). Производните друштва претставуваат 13 проценти од сите претпријатија, вработуваат 31 процент од сите работници и создаваат повеќе од 24,5 проценти од додадената вредност. </w:t>
      </w:r>
    </w:p>
    <w:p w:rsidR="008A3D6C" w:rsidRPr="00BF7955" w:rsidRDefault="008A3D6C" w:rsidP="00BF7955">
      <w:pPr>
        <w:pStyle w:val="BodyText"/>
        <w:rPr>
          <w:rFonts w:ascii="StobiSerif Regular" w:hAnsi="StobiSerif Regular" w:cs="StobiSerif Regular"/>
          <w:sz w:val="22"/>
          <w:szCs w:val="22"/>
          <w:lang w:val="mk-MK"/>
        </w:rPr>
      </w:pPr>
      <w:r w:rsidRPr="00BF7955">
        <w:rPr>
          <w:rFonts w:ascii="StobiSerif Regular" w:eastAsia="TTE2844728t00" w:hAnsi="StobiSerif Regular" w:cs="StobiSerif Regular"/>
          <w:sz w:val="22"/>
          <w:szCs w:val="22"/>
          <w:lang w:val="mk-MK"/>
        </w:rPr>
        <w:t xml:space="preserve">Во 2013 година, приближно 24,2 проценти од населението биле под ризик од сиромаштија (се бележи тренд на опаѓање во споредба со 2011 година). </w:t>
      </w:r>
      <w:r w:rsidRPr="00BF7955">
        <w:rPr>
          <w:rFonts w:ascii="StobiSerif Regular" w:hAnsi="StobiSerif Regular" w:cs="StobiSerif Regular"/>
          <w:sz w:val="22"/>
          <w:szCs w:val="22"/>
          <w:lang w:val="mk-MK"/>
        </w:rPr>
        <w:t xml:space="preserve">Социјалните трансфери имаат значителен ефект во намалувањето на ризикот од социјална исклученост: во 2013 година, стапката на ризик од сиромаштија пред социјалните трансфери изнесувала 41 процент, т.е., речиси двојно поголема од реалниот индекс на ризикот од сиромаштија. </w:t>
      </w:r>
      <w:r w:rsidRPr="00BF7955">
        <w:rPr>
          <w:rFonts w:ascii="StobiSerif Regular" w:hAnsi="StobiSerif Regular" w:cs="StobiSerif Regular"/>
          <w:sz w:val="22"/>
          <w:szCs w:val="22"/>
          <w:lang w:val="mk-MK"/>
        </w:rPr>
        <w:br w:type="page"/>
      </w:r>
    </w:p>
    <w:p w:rsidR="008A3D6C" w:rsidRPr="00BF7955" w:rsidRDefault="008A3D6C" w:rsidP="00BF7955">
      <w:pPr>
        <w:pStyle w:val="BodyText"/>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2. Анализа на пазарот на трудот за младите лица</w:t>
      </w:r>
    </w:p>
    <w:tbl>
      <w:tblPr>
        <w:tblW w:w="9322" w:type="dxa"/>
        <w:tblInd w:w="-106" w:type="dxa"/>
        <w:tblLayout w:type="fixed"/>
        <w:tblLook w:val="00A0"/>
      </w:tblPr>
      <w:tblGrid>
        <w:gridCol w:w="3510"/>
        <w:gridCol w:w="5812"/>
      </w:tblGrid>
      <w:tr w:rsidR="008A3D6C" w:rsidRPr="00BF7955">
        <w:tc>
          <w:tcPr>
            <w:tcW w:w="3510" w:type="dxa"/>
          </w:tcPr>
          <w:p w:rsidR="008A3D6C" w:rsidRPr="00BF7955" w:rsidRDefault="008A3D6C" w:rsidP="00B828A8">
            <w:pPr>
              <w:jc w:val="both"/>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 xml:space="preserve">Во последните неколку години, има значителни промени во возрасната структура на населението, тренд што најверојатно ќе продолжи и во следните децении (Слика 1). Уделот на младите луѓе (15-29) во вкупното население се очекува дека ќе опадне на 16,4 проценти до 20130 година (од 23,3 проценти во 2010 година), додека, пак, уделот на старото население (на возраст од 65 и повеќе години) ќе порасне на 18,7 проценти. </w:t>
            </w:r>
          </w:p>
        </w:tc>
        <w:tc>
          <w:tcPr>
            <w:tcW w:w="5812" w:type="dxa"/>
          </w:tcPr>
          <w:p w:rsidR="008A3D6C" w:rsidRPr="00BF7955" w:rsidRDefault="008A3D6C" w:rsidP="00BF7955">
            <w:pPr>
              <w:rPr>
                <w:rFonts w:ascii="StobiSerif Regular" w:hAnsi="StobiSerif Regular" w:cs="StobiSerif Regular"/>
                <w:b/>
                <w:bCs/>
                <w:color w:val="0070C0"/>
                <w:lang w:val="mk-MK"/>
              </w:rPr>
            </w:pPr>
            <w:r w:rsidRPr="00BF7955">
              <w:rPr>
                <w:rFonts w:ascii="StobiSerif Regular" w:hAnsi="StobiSerif Regular" w:cs="StobiSerif Regular"/>
                <w:b/>
                <w:bCs/>
                <w:color w:val="0070C0"/>
                <w:sz w:val="22"/>
                <w:szCs w:val="22"/>
                <w:lang w:val="mk-MK"/>
              </w:rPr>
              <w:t>Слика 1: Групи од населението - деца, млади лица и постари лица (2010-2030 г.)</w:t>
            </w:r>
          </w:p>
          <w:p w:rsidR="008A3D6C" w:rsidRPr="00BF7955" w:rsidRDefault="008A3D6C" w:rsidP="00BF7955">
            <w:pPr>
              <w:rPr>
                <w:rFonts w:ascii="StobiSerif Regular" w:hAnsi="StobiSerif Regular" w:cs="StobiSerif Regular"/>
                <w:b/>
                <w:bCs/>
                <w:color w:val="0070C0"/>
                <w:lang w:val="mk-MK"/>
              </w:rPr>
            </w:pPr>
            <w:bookmarkStart w:id="1" w:name="_MON_1497010457"/>
            <w:bookmarkEnd w:id="1"/>
            <w:r w:rsidRPr="00CF0EA9">
              <w:rPr>
                <w:rFonts w:ascii="StobiSerif Regular" w:hAnsi="StobiSerif Regular" w:cs="StobiSerif Regular"/>
                <w:lang w:val="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30.5pt">
                  <v:imagedata r:id="rId10" o:title=""/>
                </v:shape>
              </w:pict>
            </w:r>
          </w:p>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i/>
                <w:iCs/>
                <w:sz w:val="22"/>
                <w:szCs w:val="22"/>
                <w:lang w:val="mk-MK"/>
              </w:rPr>
              <w:t>Извор:</w:t>
            </w:r>
            <w:r w:rsidRPr="00BF7955">
              <w:rPr>
                <w:rFonts w:ascii="StobiSerif Regular" w:hAnsi="StobiSerif Regular" w:cs="StobiSerif Regular"/>
                <w:sz w:val="22"/>
                <w:szCs w:val="22"/>
                <w:lang w:val="mk-MK"/>
              </w:rPr>
              <w:t xml:space="preserve"> Проекции на Обединетите нации за населението за Македонија, </w:t>
            </w:r>
            <w:r w:rsidRPr="00BF7955">
              <w:rPr>
                <w:rFonts w:ascii="StobiSerif Regular" w:hAnsi="StobiSerif Regular" w:cs="StobiSerif Regular"/>
                <w:color w:val="0000FF"/>
                <w:sz w:val="22"/>
                <w:szCs w:val="22"/>
                <w:u w:val="single"/>
                <w:lang w:val="mk-MK"/>
              </w:rPr>
              <w:t>http://www.un.org/esa/population</w:t>
            </w:r>
            <w:r w:rsidRPr="00BF7955">
              <w:rPr>
                <w:rFonts w:ascii="StobiSerif Regular" w:hAnsi="StobiSerif Regular" w:cs="StobiSerif Regular"/>
                <w:sz w:val="22"/>
                <w:szCs w:val="22"/>
                <w:lang w:val="mk-MK"/>
              </w:rPr>
              <w:t>/.</w:t>
            </w:r>
          </w:p>
        </w:tc>
      </w:tr>
    </w:tbl>
    <w:p w:rsidR="008A3D6C" w:rsidRPr="00BF7955" w:rsidRDefault="008A3D6C" w:rsidP="00B828A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О</w:t>
      </w:r>
      <w:r>
        <w:rPr>
          <w:rFonts w:ascii="StobiSerif Regular" w:hAnsi="StobiSerif Regular" w:cs="StobiSerif Regular"/>
          <w:sz w:val="22"/>
          <w:szCs w:val="22"/>
          <w:lang w:val="mk-MK"/>
        </w:rPr>
        <w:t>дносот меѓу помалку зависни лица</w:t>
      </w:r>
      <w:r w:rsidRPr="00BF7955">
        <w:rPr>
          <w:rFonts w:ascii="StobiSerif Regular" w:hAnsi="StobiSerif Regular" w:cs="StobiSerif Regular"/>
          <w:sz w:val="22"/>
          <w:szCs w:val="22"/>
          <w:lang w:val="mk-MK"/>
        </w:rPr>
        <w:t xml:space="preserve"> и повеќе зависни постари лица ќе има влијание врз понудата на работната сила: во апсолутна смисла, намалувањето на работоспособното население (на возраст од 15 до 65 години) ќе предизвика загуба на повеќе од 110.000 поединци од работоспособното население до 2030 година.</w:t>
      </w:r>
    </w:p>
    <w:p w:rsidR="008A3D6C" w:rsidRPr="00BF7955" w:rsidRDefault="008A3D6C" w:rsidP="00B828A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Степенот на стекнатото образование на младото население (15-29) бележи тренд на пораст во последните неколку години (Слика 2). Во 2014  година повеќе од половина од младото население имало завршено четиригодишно средно образование а 14,7 проценти имале завршено високо образование (во споредба со 19,3 проценти во земјите-членки на ЕУ28). </w:t>
      </w:r>
    </w:p>
    <w:p w:rsidR="008A3D6C" w:rsidRDefault="008A3D6C">
      <w:pPr>
        <w:rPr>
          <w:rFonts w:ascii="StobiSerif Regular" w:hAnsi="StobiSerif Regular" w:cs="StobiSerif Regular"/>
          <w:b/>
          <w:bCs/>
          <w:color w:val="0070C0"/>
          <w:sz w:val="22"/>
          <w:szCs w:val="22"/>
          <w:lang w:val="mk-MK"/>
        </w:rPr>
      </w:pPr>
      <w:r>
        <w:rPr>
          <w:rFonts w:ascii="StobiSerif Regular" w:hAnsi="StobiSerif Regular" w:cs="StobiSerif Regular"/>
          <w:b/>
          <w:bCs/>
          <w:color w:val="0070C0"/>
          <w:sz w:val="22"/>
          <w:szCs w:val="22"/>
          <w:lang w:val="mk-MK"/>
        </w:rPr>
        <w:br w:type="page"/>
      </w:r>
    </w:p>
    <w:p w:rsidR="008A3D6C" w:rsidRPr="00BF7955" w:rsidRDefault="008A3D6C" w:rsidP="00BF7955">
      <w:pPr>
        <w:rPr>
          <w:rFonts w:ascii="StobiSerif Regular" w:hAnsi="StobiSerif Regular" w:cs="StobiSerif Regular"/>
          <w:b/>
          <w:bCs/>
          <w:color w:val="0070C0"/>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Слика 2: Младо население (15-29) според ниво на образование (2010-2014 г.), во проценти</w:t>
      </w:r>
    </w:p>
    <w:p w:rsidR="008A3D6C" w:rsidRPr="00BF7955" w:rsidRDefault="008A3D6C" w:rsidP="00BF7955">
      <w:pPr>
        <w:rPr>
          <w:rFonts w:ascii="StobiSerif Regular" w:hAnsi="StobiSerif Regular" w:cs="StobiSerif Regular"/>
          <w:b/>
          <w:bCs/>
          <w:color w:val="0070C0"/>
          <w:sz w:val="22"/>
          <w:szCs w:val="22"/>
          <w:lang w:val="mk-MK"/>
        </w:rPr>
      </w:pPr>
    </w:p>
    <w:p w:rsidR="008A3D6C" w:rsidRPr="00BF7955" w:rsidRDefault="008A3D6C" w:rsidP="00BF7955">
      <w:pPr>
        <w:rPr>
          <w:rFonts w:ascii="StobiSerif Regular" w:hAnsi="StobiSerif Regular" w:cs="StobiSerif Regular"/>
          <w:b/>
          <w:bCs/>
          <w:i/>
          <w:iCs/>
          <w:sz w:val="22"/>
          <w:szCs w:val="22"/>
          <w:lang w:val="mk-MK"/>
        </w:rPr>
      </w:pPr>
      <w:bookmarkStart w:id="2" w:name="_MON_1497010651"/>
      <w:bookmarkEnd w:id="2"/>
      <w:r w:rsidRPr="00CF0EA9">
        <w:rPr>
          <w:rFonts w:ascii="StobiSerif Regular" w:hAnsi="StobiSerif Regular" w:cs="StobiSerif Regular"/>
          <w:sz w:val="22"/>
          <w:szCs w:val="22"/>
          <w:lang w:val="mk-MK"/>
        </w:rPr>
        <w:pict>
          <v:shape id="_x0000_i1026" type="#_x0000_t75" style="width:298.5pt;height:168.75pt">
            <v:imagedata r:id="rId11" o:title=""/>
          </v:shape>
        </w:pict>
      </w:r>
      <w:r w:rsidRPr="00BF7955">
        <w:rPr>
          <w:rFonts w:ascii="StobiSerif Regular" w:hAnsi="StobiSerif Regular" w:cs="StobiSerif Regular"/>
          <w:b/>
          <w:bCs/>
          <w:i/>
          <w:iCs/>
          <w:sz w:val="22"/>
          <w:szCs w:val="22"/>
          <w:lang w:val="mk-MK"/>
        </w:rPr>
        <w:t xml:space="preserve"> </w:t>
      </w:r>
    </w:p>
    <w:p w:rsidR="008A3D6C" w:rsidRPr="00BF7955" w:rsidRDefault="008A3D6C" w:rsidP="00BF7955">
      <w:pPr>
        <w:rPr>
          <w:rFonts w:ascii="StobiSerif Regular" w:hAnsi="StobiSerif Regular" w:cs="StobiSerif Regular"/>
          <w:i/>
          <w:iCs/>
          <w:sz w:val="22"/>
          <w:szCs w:val="22"/>
          <w:lang w:val="mk-MK"/>
        </w:rPr>
      </w:pP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i/>
          <w:iCs/>
          <w:sz w:val="22"/>
          <w:szCs w:val="22"/>
          <w:lang w:val="mk-MK"/>
        </w:rPr>
        <w:t>Извор:</w:t>
      </w:r>
      <w:r w:rsidRPr="00BF7955">
        <w:rPr>
          <w:rFonts w:ascii="StobiSerif Regular" w:hAnsi="StobiSerif Regular" w:cs="StobiSerif Regular"/>
          <w:sz w:val="22"/>
          <w:szCs w:val="22"/>
          <w:lang w:val="mk-MK"/>
        </w:rPr>
        <w:t xml:space="preserve"> ЕВРОСТАТ, </w:t>
      </w:r>
      <w:r w:rsidRPr="00BF7955">
        <w:rPr>
          <w:rFonts w:ascii="StobiSerif Regular" w:hAnsi="StobiSerif Regular" w:cs="StobiSerif Regular"/>
          <w:i/>
          <w:iCs/>
          <w:sz w:val="22"/>
          <w:szCs w:val="22"/>
          <w:lang w:val="mk-MK"/>
        </w:rPr>
        <w:t xml:space="preserve">Население според пол, возраст и ниво на образование, </w:t>
      </w:r>
      <w:r w:rsidRPr="00BF7955">
        <w:rPr>
          <w:rFonts w:ascii="StobiSerif Regular" w:hAnsi="StobiSerif Regular" w:cs="StobiSerif Regular"/>
          <w:sz w:val="22"/>
          <w:szCs w:val="22"/>
          <w:lang w:val="mk-MK"/>
        </w:rPr>
        <w:t>различни години, http://ec.europa.eu/eurostat/data/database</w:t>
      </w:r>
    </w:p>
    <w:p w:rsidR="008A3D6C" w:rsidRPr="00BF7955" w:rsidRDefault="008A3D6C" w:rsidP="00B828A8">
      <w:pPr>
        <w:jc w:val="both"/>
        <w:rPr>
          <w:rFonts w:ascii="StobiSerif Regular" w:hAnsi="StobiSerif Regular" w:cs="StobiSerif Regular"/>
          <w:sz w:val="22"/>
          <w:szCs w:val="22"/>
          <w:highlight w:val="yellow"/>
          <w:lang w:val="mk-MK"/>
        </w:rPr>
      </w:pPr>
    </w:p>
    <w:p w:rsidR="008A3D6C" w:rsidRPr="00BF7955" w:rsidRDefault="008A3D6C" w:rsidP="00B828A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Во последната деценија се бележи брз пораст на побарувачката за високо образование и е постигнат значителен напредок во однос на ова ниво на образование. Во 2014 година уделот на поединците на возраст од 30 до 34 години со завршено високо образование бил 24,9 проценти (во споредба со 17,1 проценти во 2010 година). Македонија, сепак, сè уште има послаб резултат од земјите на Европската унија, каде уделот на лицата на возраст од 20 до 34 години со универзитетско образование изнесува 37,9 проценти. Покрај тоа, постои голема загриженост во врска со релевантноста на високото образование во тековниот економски контекст.</w:t>
      </w:r>
    </w:p>
    <w:tbl>
      <w:tblPr>
        <w:tblW w:w="9181" w:type="dxa"/>
        <w:tblInd w:w="-106" w:type="dxa"/>
        <w:tblLayout w:type="fixed"/>
        <w:tblLook w:val="00A0"/>
      </w:tblPr>
      <w:tblGrid>
        <w:gridCol w:w="3369"/>
        <w:gridCol w:w="5812"/>
      </w:tblGrid>
      <w:tr w:rsidR="008A3D6C" w:rsidRPr="00BF7955">
        <w:tc>
          <w:tcPr>
            <w:tcW w:w="3369" w:type="dxa"/>
          </w:tcPr>
          <w:p w:rsidR="008A3D6C" w:rsidRPr="00BF7955" w:rsidRDefault="008A3D6C" w:rsidP="00B828A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По 2010 година уделот на лицата што предвремено го напуштаат образованието (на пр., уделот на населението на возраст од 18 до 24 години што има завршено само основно образование) бележи постојан пад. Овој удел изнесувал 15,5 проценти во 2010 година, но се намалил на 11,4 проценти во 2013 година (Слика 3) – тоа е пониско од стапката што е евидентирана во земјите на ЕУ28 (11,9 проценти) – за повторно да се зголеми на 12,5 проценти во 2014 година. </w:t>
            </w:r>
          </w:p>
        </w:tc>
        <w:tc>
          <w:tcPr>
            <w:tcW w:w="5812" w:type="dxa"/>
          </w:tcPr>
          <w:p w:rsidR="008A3D6C" w:rsidRPr="0020546C" w:rsidRDefault="008A3D6C" w:rsidP="00BF7955">
            <w:pPr>
              <w:pStyle w:val="Heading2"/>
              <w:rPr>
                <w:rFonts w:ascii="StobiSerif Regular" w:hAnsi="StobiSerif Regular" w:cs="StobiSerif Regular"/>
                <w:color w:val="0070C0"/>
                <w:sz w:val="22"/>
                <w:szCs w:val="22"/>
                <w:lang w:val="mk-MK"/>
              </w:rPr>
            </w:pPr>
            <w:r w:rsidRPr="0020546C">
              <w:rPr>
                <w:rFonts w:ascii="StobiSerif Regular" w:hAnsi="StobiSerif Regular" w:cs="StobiSerif Regular"/>
                <w:color w:val="0070C0"/>
                <w:sz w:val="22"/>
                <w:szCs w:val="22"/>
                <w:lang w:val="mk-MK"/>
              </w:rPr>
              <w:t>Слика 3: Лица што предвремено го напуштаат образованието (2010-2014 г.)</w:t>
            </w:r>
          </w:p>
          <w:p w:rsidR="008A3D6C" w:rsidRPr="0020546C" w:rsidRDefault="008A3D6C" w:rsidP="00BF7955">
            <w:pPr>
              <w:pStyle w:val="Heading2"/>
              <w:rPr>
                <w:rFonts w:ascii="StobiSerif Regular" w:hAnsi="StobiSerif Regular" w:cs="StobiSerif Regular"/>
                <w:sz w:val="22"/>
                <w:szCs w:val="22"/>
                <w:lang w:val="mk-MK"/>
              </w:rPr>
            </w:pPr>
            <w:bookmarkStart w:id="3" w:name="_MON_1497010582"/>
            <w:bookmarkEnd w:id="3"/>
            <w:r w:rsidRPr="00CF0EA9">
              <w:rPr>
                <w:rFonts w:ascii="StobiSerif Regular" w:hAnsi="StobiSerif Regular" w:cs="StobiSerif Regular"/>
                <w:sz w:val="22"/>
                <w:szCs w:val="22"/>
                <w:lang w:val="mk-MK"/>
              </w:rPr>
              <w:pict>
                <v:shape id="_x0000_i1027" type="#_x0000_t75" style="width:236.25pt;height:132.75pt">
                  <v:imagedata r:id="rId12" o:title=""/>
                </v:shape>
              </w:pict>
            </w:r>
          </w:p>
          <w:p w:rsidR="008A3D6C" w:rsidRPr="0020546C" w:rsidRDefault="008A3D6C" w:rsidP="00BF7955">
            <w:pPr>
              <w:pStyle w:val="Heading2"/>
              <w:rPr>
                <w:rFonts w:ascii="StobiSerif Regular" w:hAnsi="StobiSerif Regular" w:cs="StobiSerif Regular"/>
                <w:b w:val="0"/>
                <w:bCs w:val="0"/>
                <w:i/>
                <w:iCs/>
                <w:color w:val="auto"/>
                <w:sz w:val="22"/>
                <w:szCs w:val="22"/>
                <w:lang w:val="mk-MK"/>
              </w:rPr>
            </w:pPr>
          </w:p>
          <w:p w:rsidR="008A3D6C" w:rsidRPr="0020546C" w:rsidRDefault="008A3D6C" w:rsidP="00BF7955">
            <w:pPr>
              <w:pStyle w:val="Heading2"/>
              <w:rPr>
                <w:rFonts w:ascii="StobiSerif Regular" w:hAnsi="StobiSerif Regular" w:cs="StobiSerif Regular"/>
                <w:color w:val="auto"/>
                <w:sz w:val="22"/>
                <w:szCs w:val="22"/>
                <w:lang w:val="mk-MK"/>
              </w:rPr>
            </w:pPr>
            <w:r w:rsidRPr="0020546C">
              <w:rPr>
                <w:rFonts w:ascii="StobiSerif Regular" w:hAnsi="StobiSerif Regular" w:cs="StobiSerif Regular"/>
                <w:b w:val="0"/>
                <w:bCs w:val="0"/>
                <w:i/>
                <w:iCs/>
                <w:color w:val="auto"/>
                <w:sz w:val="22"/>
                <w:szCs w:val="22"/>
                <w:lang w:val="mk-MK"/>
              </w:rPr>
              <w:t>Извор:</w:t>
            </w:r>
            <w:r w:rsidRPr="0020546C">
              <w:rPr>
                <w:rFonts w:ascii="StobiSerif Regular" w:hAnsi="StobiSerif Regular" w:cs="StobiSerif Regular"/>
                <w:b w:val="0"/>
                <w:bCs w:val="0"/>
                <w:color w:val="auto"/>
                <w:sz w:val="22"/>
                <w:szCs w:val="22"/>
                <w:lang w:val="mk-MK"/>
              </w:rPr>
              <w:t xml:space="preserve"> ЕВРОСТАТ, </w:t>
            </w:r>
            <w:r w:rsidRPr="0020546C">
              <w:rPr>
                <w:rFonts w:ascii="StobiSerif Regular" w:hAnsi="StobiSerif Regular" w:cs="StobiSerif Regular"/>
                <w:b w:val="0"/>
                <w:bCs w:val="0"/>
                <w:i/>
                <w:iCs/>
                <w:color w:val="auto"/>
                <w:sz w:val="22"/>
                <w:szCs w:val="22"/>
                <w:lang w:val="mk-MK"/>
              </w:rPr>
              <w:t>Лица што предвремено го напуштаат образованието</w:t>
            </w:r>
            <w:r w:rsidRPr="0020546C">
              <w:rPr>
                <w:rFonts w:ascii="StobiSerif Regular" w:hAnsi="StobiSerif Regular" w:cs="StobiSerif Regular"/>
                <w:b w:val="0"/>
                <w:bCs w:val="0"/>
                <w:color w:val="auto"/>
                <w:sz w:val="22"/>
                <w:szCs w:val="22"/>
                <w:lang w:val="mk-MK"/>
              </w:rPr>
              <w:t>, различни години http://ec.europa.eu/eurostat/data/database</w:t>
            </w:r>
            <w:r w:rsidRPr="0020546C">
              <w:rPr>
                <w:rFonts w:ascii="StobiSerif Regular" w:hAnsi="StobiSerif Regular" w:cs="StobiSerif Regular"/>
                <w:color w:val="auto"/>
                <w:sz w:val="22"/>
                <w:szCs w:val="22"/>
                <w:lang w:val="mk-MK"/>
              </w:rPr>
              <w:t xml:space="preserve"> </w:t>
            </w:r>
          </w:p>
        </w:tc>
      </w:tr>
    </w:tbl>
    <w:p w:rsidR="008A3D6C" w:rsidRPr="00BF7955" w:rsidRDefault="008A3D6C" w:rsidP="00BF7955">
      <w:pPr>
        <w:pStyle w:val="BodyText"/>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Стапките на учество во работната сила во Македонија остануваат пониски од оние што се евидентирани во ЕУ28. Ниските стапки на учество, пред сè, се должат на ниските стапки на активност на жените, младите лица во возрасната група од 15 до 24 години и лицата постари од 50 години. Во 2014 година, стапката на активност на младите лица (15-29) била 49,3  проценти (во споредба со 56,4 проценти во ЕУ28). Стапката на активност на младите мажи во периодот од 2010 до 2014 година останала релативно стабилна (на 57 проценти), додека, пак, учеството на младите жени се зголемило од 39 проценти во 2010 година на приближно 41 процент. </w:t>
      </w:r>
    </w:p>
    <w:p w:rsidR="008A3D6C" w:rsidRPr="00BF7955" w:rsidRDefault="008A3D6C" w:rsidP="00BF7955">
      <w:pPr>
        <w:rPr>
          <w:rFonts w:ascii="StobiSerif Regular" w:hAnsi="StobiSerif Regular" w:cs="StobiSerif Regular"/>
          <w:b/>
          <w:bCs/>
          <w:color w:val="0070C0"/>
          <w:sz w:val="22"/>
          <w:szCs w:val="22"/>
          <w:lang w:val="mk-MK" w:eastAsia="en-GB"/>
        </w:rPr>
      </w:pPr>
      <w:r w:rsidRPr="00BF7955">
        <w:rPr>
          <w:rFonts w:ascii="StobiSerif Regular" w:hAnsi="StobiSerif Regular" w:cs="StobiSerif Regular"/>
          <w:b/>
          <w:bCs/>
          <w:color w:val="0070C0"/>
          <w:sz w:val="22"/>
          <w:szCs w:val="22"/>
          <w:lang w:val="mk-MK" w:eastAsia="en-GB"/>
        </w:rPr>
        <w:t>Табела 2: Клучни показатели за пазарот на трудот (2012-2014 г.)</w:t>
      </w:r>
    </w:p>
    <w:tbl>
      <w:tblPr>
        <w:tblW w:w="8094" w:type="dxa"/>
        <w:tblInd w:w="2"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CellMar>
          <w:left w:w="0" w:type="dxa"/>
          <w:right w:w="0" w:type="dxa"/>
        </w:tblCellMar>
        <w:tblLook w:val="00A0"/>
      </w:tblPr>
      <w:tblGrid>
        <w:gridCol w:w="2867"/>
        <w:gridCol w:w="1397"/>
        <w:gridCol w:w="1336"/>
        <w:gridCol w:w="1281"/>
        <w:gridCol w:w="1213"/>
      </w:tblGrid>
      <w:tr w:rsidR="008A3D6C" w:rsidRPr="00BF7955">
        <w:trPr>
          <w:trHeight w:val="240"/>
        </w:trPr>
        <w:tc>
          <w:tcPr>
            <w:tcW w:w="2867" w:type="dxa"/>
            <w:tcBorders>
              <w:top w:val="single" w:sz="12" w:space="0" w:color="0070C0"/>
            </w:tcBorders>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p>
        </w:tc>
        <w:tc>
          <w:tcPr>
            <w:tcW w:w="1397" w:type="dxa"/>
            <w:tcBorders>
              <w:top w:val="single" w:sz="12" w:space="0" w:color="0070C0"/>
            </w:tcBorders>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b/>
                <w:bCs/>
                <w:lang w:val="mk-MK" w:eastAsia="en-GB"/>
              </w:rPr>
            </w:pPr>
            <w:r w:rsidRPr="00BF7955">
              <w:rPr>
                <w:rFonts w:ascii="StobiSerif Regular" w:hAnsi="StobiSerif Regular" w:cs="StobiSerif Regular"/>
                <w:b/>
                <w:bCs/>
                <w:sz w:val="22"/>
                <w:szCs w:val="22"/>
                <w:lang w:val="mk-MK" w:eastAsia="en-GB"/>
              </w:rPr>
              <w:t>2011</w:t>
            </w:r>
          </w:p>
        </w:tc>
        <w:tc>
          <w:tcPr>
            <w:tcW w:w="1336" w:type="dxa"/>
            <w:tcBorders>
              <w:top w:val="single" w:sz="12" w:space="0" w:color="0070C0"/>
            </w:tcBorders>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b/>
                <w:bCs/>
                <w:sz w:val="22"/>
                <w:szCs w:val="22"/>
                <w:lang w:val="mk-MK" w:eastAsia="en-GB"/>
              </w:rPr>
              <w:t>2012</w:t>
            </w:r>
          </w:p>
        </w:tc>
        <w:tc>
          <w:tcPr>
            <w:tcW w:w="1281" w:type="dxa"/>
            <w:tcBorders>
              <w:top w:val="single" w:sz="12" w:space="0" w:color="0070C0"/>
            </w:tcBorders>
          </w:tcPr>
          <w:p w:rsidR="008A3D6C" w:rsidRPr="00BF7955" w:rsidRDefault="008A3D6C" w:rsidP="00BF7955">
            <w:pPr>
              <w:rPr>
                <w:rFonts w:ascii="StobiSerif Regular" w:hAnsi="StobiSerif Regular" w:cs="StobiSerif Regular"/>
                <w:b/>
                <w:bCs/>
                <w:lang w:val="mk-MK" w:eastAsia="en-GB"/>
              </w:rPr>
            </w:pPr>
            <w:r w:rsidRPr="00BF7955">
              <w:rPr>
                <w:rFonts w:ascii="StobiSerif Regular" w:hAnsi="StobiSerif Regular" w:cs="StobiSerif Regular"/>
                <w:b/>
                <w:bCs/>
                <w:sz w:val="22"/>
                <w:szCs w:val="22"/>
                <w:lang w:val="mk-MK" w:eastAsia="en-GB"/>
              </w:rPr>
              <w:t>2013</w:t>
            </w:r>
          </w:p>
        </w:tc>
        <w:tc>
          <w:tcPr>
            <w:tcW w:w="1213" w:type="dxa"/>
            <w:tcBorders>
              <w:top w:val="single" w:sz="12" w:space="0" w:color="0070C0"/>
            </w:tcBorders>
          </w:tcPr>
          <w:p w:rsidR="008A3D6C" w:rsidRPr="00BF7955" w:rsidRDefault="008A3D6C" w:rsidP="00BF7955">
            <w:pPr>
              <w:rPr>
                <w:rFonts w:ascii="StobiSerif Regular" w:hAnsi="StobiSerif Regular" w:cs="StobiSerif Regular"/>
                <w:b/>
                <w:bCs/>
                <w:lang w:val="mk-MK" w:eastAsia="en-GB"/>
              </w:rPr>
            </w:pPr>
            <w:r w:rsidRPr="00BF7955">
              <w:rPr>
                <w:rFonts w:ascii="StobiSerif Regular" w:hAnsi="StobiSerif Regular" w:cs="StobiSerif Regular"/>
                <w:b/>
                <w:bCs/>
                <w:sz w:val="22"/>
                <w:szCs w:val="22"/>
                <w:lang w:val="mk-MK" w:eastAsia="en-GB"/>
              </w:rPr>
              <w:t>2014</w:t>
            </w:r>
          </w:p>
        </w:tc>
      </w:tr>
      <w:tr w:rsidR="008A3D6C" w:rsidRPr="00BF7955">
        <w:trPr>
          <w:trHeight w:val="240"/>
        </w:trPr>
        <w:tc>
          <w:tcPr>
            <w:tcW w:w="8094" w:type="dxa"/>
            <w:gridSpan w:val="5"/>
            <w:shd w:val="clear" w:color="auto" w:fill="DAEEF3"/>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b/>
                <w:bCs/>
                <w:lang w:val="mk-MK" w:eastAsia="en-GB"/>
              </w:rPr>
            </w:pPr>
            <w:r w:rsidRPr="00BF7955">
              <w:rPr>
                <w:rFonts w:ascii="StobiSerif Regular" w:hAnsi="StobiSerif Regular" w:cs="StobiSerif Regular"/>
                <w:b/>
                <w:bCs/>
                <w:sz w:val="22"/>
                <w:szCs w:val="22"/>
                <w:lang w:val="mk-MK" w:eastAsia="en-GB"/>
              </w:rPr>
              <w:t>Млади лица 15-24</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F93A01">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 xml:space="preserve">Стапка на активност </w:t>
            </w:r>
          </w:p>
        </w:tc>
        <w:tc>
          <w:tcPr>
            <w:tcW w:w="1397" w:type="dxa"/>
            <w:tcMar>
              <w:top w:w="11" w:type="dxa"/>
              <w:left w:w="104" w:type="dxa"/>
              <w:bottom w:w="0" w:type="dxa"/>
              <w:right w:w="104" w:type="dxa"/>
            </w:tcMar>
            <w:vAlign w:val="center"/>
          </w:tcPr>
          <w:p w:rsidR="008A3D6C" w:rsidRPr="00BF7955" w:rsidRDefault="008A3D6C" w:rsidP="00F93A01">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32,1</w:t>
            </w:r>
          </w:p>
        </w:tc>
        <w:tc>
          <w:tcPr>
            <w:tcW w:w="1336" w:type="dxa"/>
            <w:tcMar>
              <w:top w:w="11" w:type="dxa"/>
              <w:left w:w="104" w:type="dxa"/>
              <w:bottom w:w="0" w:type="dxa"/>
              <w:right w:w="104" w:type="dxa"/>
            </w:tcMar>
            <w:vAlign w:val="center"/>
          </w:tcPr>
          <w:p w:rsidR="008A3D6C" w:rsidRPr="00BF7955" w:rsidRDefault="008A3D6C" w:rsidP="00F93A01">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33,6</w:t>
            </w:r>
          </w:p>
        </w:tc>
        <w:tc>
          <w:tcPr>
            <w:tcW w:w="1281" w:type="dxa"/>
            <w:vAlign w:val="center"/>
          </w:tcPr>
          <w:p w:rsidR="008A3D6C" w:rsidRPr="00BF7955" w:rsidRDefault="008A3D6C" w:rsidP="00F93A01">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33,6</w:t>
            </w:r>
          </w:p>
        </w:tc>
        <w:tc>
          <w:tcPr>
            <w:tcW w:w="1213" w:type="dxa"/>
          </w:tcPr>
          <w:p w:rsidR="008A3D6C" w:rsidRPr="00BF7955" w:rsidRDefault="008A3D6C" w:rsidP="00F93A01">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32,4</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Pr>
                <w:rFonts w:ascii="StobiSerif Regular" w:hAnsi="StobiSerif Regular" w:cs="StobiSerif Regular"/>
                <w:sz w:val="22"/>
                <w:szCs w:val="22"/>
                <w:lang w:val="mk-MK" w:eastAsia="en-GB"/>
              </w:rPr>
              <w:t>Стапка на вработеност</w:t>
            </w:r>
          </w:p>
        </w:tc>
        <w:tc>
          <w:tcPr>
            <w:tcW w:w="139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14,4</w:t>
            </w:r>
          </w:p>
        </w:tc>
        <w:tc>
          <w:tcPr>
            <w:tcW w:w="1336"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15,5</w:t>
            </w:r>
          </w:p>
        </w:tc>
        <w:tc>
          <w:tcPr>
            <w:tcW w:w="1281" w:type="dxa"/>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16,2</w:t>
            </w:r>
          </w:p>
        </w:tc>
        <w:tc>
          <w:tcPr>
            <w:tcW w:w="1213" w:type="dxa"/>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15,2</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 xml:space="preserve">Стапка на невработеност </w:t>
            </w:r>
          </w:p>
        </w:tc>
        <w:tc>
          <w:tcPr>
            <w:tcW w:w="139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55,3</w:t>
            </w:r>
          </w:p>
        </w:tc>
        <w:tc>
          <w:tcPr>
            <w:tcW w:w="1336"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53,9</w:t>
            </w:r>
          </w:p>
        </w:tc>
        <w:tc>
          <w:tcPr>
            <w:tcW w:w="1281" w:type="dxa"/>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51,9</w:t>
            </w:r>
          </w:p>
        </w:tc>
        <w:tc>
          <w:tcPr>
            <w:tcW w:w="1213" w:type="dxa"/>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53,1</w:t>
            </w:r>
          </w:p>
        </w:tc>
      </w:tr>
      <w:tr w:rsidR="008A3D6C" w:rsidRPr="00BF7955">
        <w:trPr>
          <w:trHeight w:val="240"/>
        </w:trPr>
        <w:tc>
          <w:tcPr>
            <w:tcW w:w="8094" w:type="dxa"/>
            <w:gridSpan w:val="5"/>
            <w:shd w:val="clear" w:color="auto" w:fill="DAEEF3"/>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b/>
                <w:bCs/>
                <w:lang w:val="mk-MK" w:eastAsia="en-GB"/>
              </w:rPr>
            </w:pPr>
            <w:r w:rsidRPr="00BF7955">
              <w:rPr>
                <w:rFonts w:ascii="StobiSerif Regular" w:hAnsi="StobiSerif Regular" w:cs="StobiSerif Regular"/>
                <w:b/>
                <w:bCs/>
                <w:sz w:val="22"/>
                <w:szCs w:val="22"/>
                <w:lang w:val="mk-MK" w:eastAsia="en-GB"/>
              </w:rPr>
              <w:t>Млади лица 15-29</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Стапка на активност</w:t>
            </w:r>
          </w:p>
        </w:tc>
        <w:tc>
          <w:tcPr>
            <w:tcW w:w="139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48,1</w:t>
            </w:r>
          </w:p>
        </w:tc>
        <w:tc>
          <w:tcPr>
            <w:tcW w:w="1336"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49,1</w:t>
            </w:r>
          </w:p>
        </w:tc>
        <w:tc>
          <w:tcPr>
            <w:tcW w:w="1281" w:type="dxa"/>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49,2</w:t>
            </w:r>
          </w:p>
        </w:tc>
        <w:tc>
          <w:tcPr>
            <w:tcW w:w="1213" w:type="dxa"/>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49,3</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Pr>
                <w:rFonts w:ascii="StobiSerif Regular" w:hAnsi="StobiSerif Regular" w:cs="StobiSerif Regular"/>
                <w:sz w:val="22"/>
                <w:szCs w:val="22"/>
                <w:lang w:val="mk-MK" w:eastAsia="en-GB"/>
              </w:rPr>
              <w:t>Стапка на вработеност</w:t>
            </w:r>
            <w:r w:rsidRPr="00BF7955">
              <w:rPr>
                <w:rFonts w:ascii="StobiSerif Regular" w:hAnsi="StobiSerif Regular" w:cs="StobiSerif Regular"/>
                <w:sz w:val="22"/>
                <w:szCs w:val="22"/>
                <w:lang w:val="mk-MK" w:eastAsia="en-GB"/>
              </w:rPr>
              <w:t xml:space="preserve"> </w:t>
            </w:r>
          </w:p>
        </w:tc>
        <w:tc>
          <w:tcPr>
            <w:tcW w:w="139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25,5</w:t>
            </w:r>
          </w:p>
        </w:tc>
        <w:tc>
          <w:tcPr>
            <w:tcW w:w="1336"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26,1</w:t>
            </w:r>
          </w:p>
        </w:tc>
        <w:tc>
          <w:tcPr>
            <w:tcW w:w="1281" w:type="dxa"/>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26,8</w:t>
            </w:r>
          </w:p>
        </w:tc>
        <w:tc>
          <w:tcPr>
            <w:tcW w:w="1213" w:type="dxa"/>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27,1</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 xml:space="preserve">Стапка на невработеност </w:t>
            </w:r>
          </w:p>
        </w:tc>
        <w:tc>
          <w:tcPr>
            <w:tcW w:w="139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47,0</w:t>
            </w:r>
          </w:p>
        </w:tc>
        <w:tc>
          <w:tcPr>
            <w:tcW w:w="1336"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47,0</w:t>
            </w:r>
          </w:p>
        </w:tc>
        <w:tc>
          <w:tcPr>
            <w:tcW w:w="1281" w:type="dxa"/>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45,5</w:t>
            </w:r>
          </w:p>
        </w:tc>
        <w:tc>
          <w:tcPr>
            <w:tcW w:w="1213" w:type="dxa"/>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45,1</w:t>
            </w:r>
          </w:p>
        </w:tc>
      </w:tr>
      <w:tr w:rsidR="008A3D6C" w:rsidRPr="00BF7955">
        <w:trPr>
          <w:trHeight w:val="240"/>
        </w:trPr>
        <w:tc>
          <w:tcPr>
            <w:tcW w:w="8094" w:type="dxa"/>
            <w:gridSpan w:val="5"/>
            <w:shd w:val="clear" w:color="auto" w:fill="DAEEF3"/>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b/>
                <w:bCs/>
                <w:lang w:val="mk-MK" w:eastAsia="en-GB"/>
              </w:rPr>
            </w:pPr>
            <w:r w:rsidRPr="00BF7955">
              <w:rPr>
                <w:rFonts w:ascii="StobiSerif Regular" w:hAnsi="StobiSerif Regular" w:cs="StobiSerif Regular"/>
                <w:b/>
                <w:bCs/>
                <w:sz w:val="22"/>
                <w:szCs w:val="22"/>
                <w:lang w:val="mk-MK" w:eastAsia="en-GB"/>
              </w:rPr>
              <w:t>Возрасни 30-64</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Стапка на активност</w:t>
            </w:r>
          </w:p>
        </w:tc>
        <w:tc>
          <w:tcPr>
            <w:tcW w:w="139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73,0</w:t>
            </w:r>
          </w:p>
        </w:tc>
        <w:tc>
          <w:tcPr>
            <w:tcW w:w="1336"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70,7</w:t>
            </w:r>
          </w:p>
        </w:tc>
        <w:tc>
          <w:tcPr>
            <w:tcW w:w="1281" w:type="dxa"/>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72,2</w:t>
            </w:r>
          </w:p>
        </w:tc>
        <w:tc>
          <w:tcPr>
            <w:tcW w:w="1213" w:type="dxa"/>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72,5</w:t>
            </w:r>
          </w:p>
        </w:tc>
      </w:tr>
      <w:tr w:rsidR="008A3D6C" w:rsidRPr="00BF7955">
        <w:trPr>
          <w:trHeight w:val="240"/>
        </w:trPr>
        <w:tc>
          <w:tcPr>
            <w:tcW w:w="286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Pr>
                <w:rFonts w:ascii="StobiSerif Regular" w:hAnsi="StobiSerif Regular" w:cs="StobiSerif Regular"/>
                <w:sz w:val="22"/>
                <w:szCs w:val="22"/>
                <w:lang w:val="mk-MK" w:eastAsia="en-GB"/>
              </w:rPr>
              <w:t>Стапка на вработеност</w:t>
            </w:r>
            <w:r w:rsidRPr="00BF7955">
              <w:rPr>
                <w:rFonts w:ascii="StobiSerif Regular" w:hAnsi="StobiSerif Regular" w:cs="StobiSerif Regular"/>
                <w:sz w:val="22"/>
                <w:szCs w:val="22"/>
                <w:lang w:val="mk-MK" w:eastAsia="en-GB"/>
              </w:rPr>
              <w:t xml:space="preserve"> </w:t>
            </w:r>
          </w:p>
        </w:tc>
        <w:tc>
          <w:tcPr>
            <w:tcW w:w="1397"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52,1</w:t>
            </w:r>
          </w:p>
        </w:tc>
        <w:tc>
          <w:tcPr>
            <w:tcW w:w="1336" w:type="dxa"/>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52,3</w:t>
            </w:r>
          </w:p>
        </w:tc>
        <w:tc>
          <w:tcPr>
            <w:tcW w:w="1281" w:type="dxa"/>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54,8</w:t>
            </w:r>
          </w:p>
        </w:tc>
        <w:tc>
          <w:tcPr>
            <w:tcW w:w="1213" w:type="dxa"/>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55,9</w:t>
            </w:r>
          </w:p>
        </w:tc>
      </w:tr>
      <w:tr w:rsidR="008A3D6C" w:rsidRPr="00BF7955">
        <w:trPr>
          <w:trHeight w:val="240"/>
        </w:trPr>
        <w:tc>
          <w:tcPr>
            <w:tcW w:w="2867" w:type="dxa"/>
            <w:tcBorders>
              <w:bottom w:val="single" w:sz="12" w:space="0" w:color="0070C0"/>
            </w:tcBorders>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 xml:space="preserve">Стапка на невработеност </w:t>
            </w:r>
          </w:p>
        </w:tc>
        <w:tc>
          <w:tcPr>
            <w:tcW w:w="1397" w:type="dxa"/>
            <w:tcBorders>
              <w:bottom w:val="single" w:sz="12" w:space="0" w:color="0070C0"/>
            </w:tcBorders>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28,7</w:t>
            </w:r>
          </w:p>
        </w:tc>
        <w:tc>
          <w:tcPr>
            <w:tcW w:w="1336" w:type="dxa"/>
            <w:tcBorders>
              <w:bottom w:val="single" w:sz="12" w:space="0" w:color="0070C0"/>
            </w:tcBorders>
            <w:tcMar>
              <w:top w:w="11" w:type="dxa"/>
              <w:left w:w="104" w:type="dxa"/>
              <w:bottom w:w="0" w:type="dxa"/>
              <w:right w:w="104" w:type="dxa"/>
            </w:tcMar>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26,0</w:t>
            </w:r>
          </w:p>
        </w:tc>
        <w:tc>
          <w:tcPr>
            <w:tcW w:w="1281" w:type="dxa"/>
            <w:tcBorders>
              <w:bottom w:val="single" w:sz="12" w:space="0" w:color="0070C0"/>
            </w:tcBorders>
            <w:vAlign w:val="center"/>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24,0</w:t>
            </w:r>
          </w:p>
        </w:tc>
        <w:tc>
          <w:tcPr>
            <w:tcW w:w="1213" w:type="dxa"/>
            <w:tcBorders>
              <w:bottom w:val="single" w:sz="12" w:space="0" w:color="0070C0"/>
            </w:tcBorders>
          </w:tcPr>
          <w:p w:rsidR="008A3D6C" w:rsidRPr="00BF7955" w:rsidRDefault="008A3D6C" w:rsidP="00BF7955">
            <w:pPr>
              <w:rPr>
                <w:rFonts w:ascii="StobiSerif Regular" w:hAnsi="StobiSerif Regular" w:cs="StobiSerif Regular"/>
                <w:lang w:val="mk-MK" w:eastAsia="en-GB"/>
              </w:rPr>
            </w:pPr>
            <w:r w:rsidRPr="00BF7955">
              <w:rPr>
                <w:rFonts w:ascii="StobiSerif Regular" w:hAnsi="StobiSerif Regular" w:cs="StobiSerif Regular"/>
                <w:sz w:val="22"/>
                <w:szCs w:val="22"/>
                <w:lang w:val="mk-MK" w:eastAsia="en-GB"/>
              </w:rPr>
              <w:t>22,9</w:t>
            </w:r>
          </w:p>
        </w:tc>
      </w:tr>
    </w:tbl>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i/>
          <w:iCs/>
          <w:sz w:val="22"/>
          <w:szCs w:val="22"/>
          <w:lang w:val="mk-MK" w:eastAsia="en-GB"/>
        </w:rPr>
        <w:t>Извор:</w:t>
      </w:r>
      <w:r w:rsidRPr="00BF7955">
        <w:rPr>
          <w:rFonts w:ascii="StobiSerif Regular" w:hAnsi="StobiSerif Regular" w:cs="StobiSerif Regular"/>
          <w:sz w:val="22"/>
          <w:szCs w:val="22"/>
          <w:lang w:val="mk-MK" w:eastAsia="en-GB"/>
        </w:rPr>
        <w:t xml:space="preserve"> Државен завод за статистика, </w:t>
      </w:r>
      <w:r w:rsidRPr="00BF7955">
        <w:rPr>
          <w:rFonts w:ascii="StobiSerif Regular" w:hAnsi="StobiSerif Regular" w:cs="StobiSerif Regular"/>
          <w:i/>
          <w:iCs/>
          <w:sz w:val="22"/>
          <w:szCs w:val="22"/>
          <w:lang w:val="mk-MK" w:eastAsia="en-GB"/>
        </w:rPr>
        <w:t>Годишна анкета за работната сила</w:t>
      </w:r>
      <w:r w:rsidRPr="00BF7955">
        <w:rPr>
          <w:rFonts w:ascii="StobiSerif Regular" w:hAnsi="StobiSerif Regular" w:cs="StobiSerif Regular"/>
          <w:sz w:val="22"/>
          <w:szCs w:val="22"/>
          <w:lang w:val="mk-MK" w:eastAsia="en-GB"/>
        </w:rPr>
        <w:t>, различни години.</w:t>
      </w:r>
    </w:p>
    <w:p w:rsidR="008A3D6C" w:rsidRPr="00BF7955" w:rsidRDefault="008A3D6C" w:rsidP="00BF7955">
      <w:pPr>
        <w:rPr>
          <w:rFonts w:ascii="StobiSerif Regular" w:hAnsi="StobiSerif Regular" w:cs="StobiSerif Regular"/>
          <w:sz w:val="22"/>
          <w:szCs w:val="22"/>
          <w:lang w:val="mk-MK" w:eastAsia="en-GB"/>
        </w:rPr>
      </w:pPr>
    </w:p>
    <w:p w:rsidR="008A3D6C" w:rsidRPr="00BF7955" w:rsidRDefault="008A3D6C" w:rsidP="00B828A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rPr>
        <w:t xml:space="preserve">Прирастот на вработеноста на младите лица што беше забележан во периодот од 2010 до 2014 година пред сè се должеше на демографските фактори (населението на возраст од 15 до 29 години се намалило за 5,5 проценти). Бројот на младите невработени лица се намалил (за 6,1 проценти), но, исто така, се намалил и бројот на младите вработени лица (за 3,4 проценти). </w:t>
      </w:r>
      <w:r w:rsidRPr="00BF7955">
        <w:rPr>
          <w:rFonts w:ascii="StobiSerif Regular" w:hAnsi="StobiSerif Regular" w:cs="StobiSerif Regular"/>
          <w:sz w:val="22"/>
          <w:szCs w:val="22"/>
          <w:lang w:val="mk-MK" w:eastAsia="en-GB"/>
        </w:rPr>
        <w:t>Родовиот јаз во случајот на вработеноста на младите останал стабилен бидејќи намалувањето на севкупниот број вработени мажи и жени било слично (3,5 и 3,3 проценти, соодветно).</w:t>
      </w:r>
    </w:p>
    <w:p w:rsidR="008A3D6C" w:rsidRPr="00BF7955" w:rsidRDefault="008A3D6C" w:rsidP="00B828A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Во извештајниот период структурата на вработеноста на младите лица (15-29) се поместила, при што вработувањето за плата се зголемило за 12 процентни поени а работењето во својство на неплатени семејни работници се намалило речиси за половина (Табела 3). Како последица на поголемото вработување за плата, уделот во вработеноста на младите во неповолна положба се намалил од 36,9 проценти во 2010 година на 24,9 проценти во 2014 година.</w:t>
      </w:r>
      <w:r w:rsidRPr="00BF7955">
        <w:rPr>
          <w:rStyle w:val="FootnoteReference"/>
          <w:rFonts w:ascii="StobiSerif Regular" w:hAnsi="StobiSerif Regular" w:cs="StobiSerif Regular"/>
          <w:sz w:val="22"/>
          <w:szCs w:val="22"/>
          <w:lang w:val="mk-MK" w:eastAsia="en-GB"/>
        </w:rPr>
        <w:footnoteReference w:id="2"/>
      </w:r>
    </w:p>
    <w:p w:rsidR="008A3D6C" w:rsidRPr="00BF7955" w:rsidRDefault="008A3D6C" w:rsidP="00BF7955">
      <w:pPr>
        <w:pStyle w:val="BodyText2"/>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Табела 3: Структура на вработеноста на младите лица (15-29), 2012-2014 г.</w:t>
      </w:r>
    </w:p>
    <w:tbl>
      <w:tblPr>
        <w:tblW w:w="7343" w:type="dxa"/>
        <w:jc w:val="center"/>
        <w:tblBorders>
          <w:top w:val="single" w:sz="12" w:space="0" w:color="00B0F0"/>
          <w:left w:val="single" w:sz="12" w:space="0" w:color="00B0F0"/>
          <w:bottom w:val="single" w:sz="12" w:space="0" w:color="00B0F0"/>
          <w:right w:val="single" w:sz="12" w:space="0" w:color="00B0F0"/>
        </w:tblBorders>
        <w:tblLook w:val="00A0"/>
      </w:tblPr>
      <w:tblGrid>
        <w:gridCol w:w="2623"/>
        <w:gridCol w:w="1180"/>
        <w:gridCol w:w="1180"/>
        <w:gridCol w:w="1180"/>
        <w:gridCol w:w="1180"/>
      </w:tblGrid>
      <w:tr w:rsidR="008A3D6C" w:rsidRPr="00BF7955">
        <w:trPr>
          <w:trHeight w:val="340"/>
          <w:jc w:val="center"/>
        </w:trPr>
        <w:tc>
          <w:tcPr>
            <w:tcW w:w="2623" w:type="dxa"/>
            <w:tcBorders>
              <w:top w:val="single" w:sz="12" w:space="0" w:color="00B0F0"/>
              <w:bottom w:val="single" w:sz="12" w:space="0" w:color="00B0F0"/>
            </w:tcBorders>
            <w:shd w:val="clear" w:color="auto" w:fill="C6D9F1"/>
            <w:noWrap/>
            <w:vAlign w:val="center"/>
          </w:tcPr>
          <w:p w:rsidR="008A3D6C" w:rsidRPr="00BF7955" w:rsidRDefault="008A3D6C" w:rsidP="00BF7955">
            <w:pPr>
              <w:rPr>
                <w:rFonts w:ascii="StobiSerif Regular" w:hAnsi="StobiSerif Regular" w:cs="StobiSerif Regular"/>
                <w:b/>
                <w:bCs/>
                <w:lang w:val="mk-MK"/>
              </w:rPr>
            </w:pPr>
          </w:p>
        </w:tc>
        <w:tc>
          <w:tcPr>
            <w:tcW w:w="1180" w:type="dxa"/>
            <w:tcBorders>
              <w:top w:val="single" w:sz="12" w:space="0" w:color="00B0F0"/>
              <w:bottom w:val="single" w:sz="12" w:space="0" w:color="00B0F0"/>
            </w:tcBorders>
            <w:shd w:val="clear" w:color="auto" w:fill="C6D9F1"/>
            <w:vAlign w:val="center"/>
          </w:tcPr>
          <w:p w:rsidR="008A3D6C" w:rsidRPr="00BF7955" w:rsidRDefault="008A3D6C" w:rsidP="00BF7955">
            <w:pPr>
              <w:rPr>
                <w:rFonts w:ascii="StobiSerif Regular" w:hAnsi="StobiSerif Regular" w:cs="StobiSerif Regular"/>
                <w:b/>
                <w:bCs/>
                <w:lang w:val="mk-MK"/>
              </w:rPr>
            </w:pPr>
          </w:p>
        </w:tc>
        <w:tc>
          <w:tcPr>
            <w:tcW w:w="1180" w:type="dxa"/>
            <w:tcBorders>
              <w:top w:val="single" w:sz="12" w:space="0" w:color="00B0F0"/>
              <w:bottom w:val="single" w:sz="12" w:space="0" w:color="00B0F0"/>
            </w:tcBorders>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2012</w:t>
            </w:r>
          </w:p>
        </w:tc>
        <w:tc>
          <w:tcPr>
            <w:tcW w:w="1180" w:type="dxa"/>
            <w:tcBorders>
              <w:top w:val="single" w:sz="12" w:space="0" w:color="00B0F0"/>
              <w:bottom w:val="single" w:sz="12" w:space="0" w:color="00B0F0"/>
            </w:tcBorders>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2013</w:t>
            </w:r>
          </w:p>
        </w:tc>
        <w:tc>
          <w:tcPr>
            <w:tcW w:w="1180" w:type="dxa"/>
            <w:tcBorders>
              <w:top w:val="single" w:sz="12" w:space="0" w:color="00B0F0"/>
              <w:bottom w:val="single" w:sz="12" w:space="0" w:color="00B0F0"/>
            </w:tcBorders>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2014</w:t>
            </w:r>
          </w:p>
        </w:tc>
      </w:tr>
      <w:tr w:rsidR="008A3D6C" w:rsidRPr="00BF7955">
        <w:trPr>
          <w:trHeight w:val="340"/>
          <w:jc w:val="center"/>
        </w:trPr>
        <w:tc>
          <w:tcPr>
            <w:tcW w:w="6163" w:type="dxa"/>
            <w:gridSpan w:val="4"/>
            <w:tcBorders>
              <w:top w:val="single" w:sz="12" w:space="0" w:color="00B0F0"/>
            </w:tcBorders>
            <w:noWrap/>
            <w:vAlign w:val="center"/>
          </w:tcPr>
          <w:p w:rsidR="008A3D6C" w:rsidRPr="00BF7955" w:rsidRDefault="008A3D6C" w:rsidP="00BF7955">
            <w:pPr>
              <w:rPr>
                <w:rFonts w:ascii="StobiSerif Regular" w:hAnsi="StobiSerif Regular" w:cs="StobiSerif Regular"/>
                <w:i/>
                <w:iCs/>
                <w:lang w:val="mk-MK"/>
              </w:rPr>
            </w:pPr>
            <w:r w:rsidRPr="00BF7955">
              <w:rPr>
                <w:rFonts w:ascii="StobiSerif Regular" w:hAnsi="StobiSerif Regular" w:cs="StobiSerif Regular"/>
                <w:i/>
                <w:iCs/>
                <w:sz w:val="22"/>
                <w:szCs w:val="22"/>
                <w:lang w:val="mk-MK"/>
              </w:rPr>
              <w:t>Статус на вработеност</w:t>
            </w:r>
          </w:p>
        </w:tc>
        <w:tc>
          <w:tcPr>
            <w:tcW w:w="1180" w:type="dxa"/>
            <w:tcBorders>
              <w:top w:val="single" w:sz="12" w:space="0" w:color="00B0F0"/>
            </w:tcBorders>
            <w:vAlign w:val="center"/>
          </w:tcPr>
          <w:p w:rsidR="008A3D6C" w:rsidRPr="00BF7955" w:rsidRDefault="008A3D6C" w:rsidP="00BF7955">
            <w:pPr>
              <w:rPr>
                <w:rFonts w:ascii="StobiSerif Regular" w:hAnsi="StobiSerif Regular" w:cs="StobiSerif Regular"/>
                <w:i/>
                <w:iCs/>
                <w:lang w:val="mk-MK"/>
              </w:rPr>
            </w:pPr>
          </w:p>
        </w:tc>
      </w:tr>
      <w:tr w:rsidR="008A3D6C" w:rsidRPr="00BF7955">
        <w:trPr>
          <w:trHeight w:val="340"/>
          <w:jc w:val="center"/>
        </w:trPr>
        <w:tc>
          <w:tcPr>
            <w:tcW w:w="2623" w:type="dxa"/>
            <w:tcBorders>
              <w:top w:val="single" w:sz="12" w:space="0" w:color="00B0F0"/>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Вработени</w:t>
            </w:r>
          </w:p>
        </w:tc>
        <w:tc>
          <w:tcPr>
            <w:tcW w:w="1180" w:type="dxa"/>
            <w:tcBorders>
              <w:top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63,2</w:t>
            </w:r>
          </w:p>
        </w:tc>
        <w:tc>
          <w:tcPr>
            <w:tcW w:w="1180" w:type="dxa"/>
            <w:tcBorders>
              <w:top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77,1</w:t>
            </w:r>
          </w:p>
        </w:tc>
        <w:tc>
          <w:tcPr>
            <w:tcW w:w="1180" w:type="dxa"/>
            <w:tcBorders>
              <w:top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74,6</w:t>
            </w:r>
          </w:p>
        </w:tc>
        <w:tc>
          <w:tcPr>
            <w:tcW w:w="1180" w:type="dxa"/>
            <w:tcBorders>
              <w:top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75,1</w:t>
            </w:r>
          </w:p>
        </w:tc>
      </w:tr>
      <w:tr w:rsidR="008A3D6C" w:rsidRPr="00BF7955">
        <w:trPr>
          <w:trHeight w:val="340"/>
          <w:jc w:val="center"/>
        </w:trPr>
        <w:tc>
          <w:tcPr>
            <w:tcW w:w="2623" w:type="dxa"/>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Самовработени лица</w:t>
            </w:r>
          </w:p>
        </w:tc>
        <w:tc>
          <w:tcPr>
            <w:tcW w:w="1180" w:type="dxa"/>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6,4</w:t>
            </w:r>
          </w:p>
        </w:tc>
        <w:tc>
          <w:tcPr>
            <w:tcW w:w="1180" w:type="dxa"/>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7,5</w:t>
            </w:r>
          </w:p>
        </w:tc>
        <w:tc>
          <w:tcPr>
            <w:tcW w:w="1180" w:type="dxa"/>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8,0</w:t>
            </w:r>
          </w:p>
        </w:tc>
        <w:tc>
          <w:tcPr>
            <w:tcW w:w="1180" w:type="dxa"/>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7,5</w:t>
            </w:r>
          </w:p>
        </w:tc>
      </w:tr>
      <w:tr w:rsidR="008A3D6C" w:rsidRPr="00BF7955">
        <w:trPr>
          <w:trHeight w:val="340"/>
          <w:jc w:val="center"/>
        </w:trPr>
        <w:tc>
          <w:tcPr>
            <w:tcW w:w="2623" w:type="dxa"/>
            <w:tcBorders>
              <w:bottom w:val="single" w:sz="12" w:space="0" w:color="00B0F0"/>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Неплатени семејни работници</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30,5</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15,3</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17,4</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17,4</w:t>
            </w:r>
          </w:p>
        </w:tc>
      </w:tr>
      <w:tr w:rsidR="008A3D6C" w:rsidRPr="00BF7955">
        <w:trPr>
          <w:trHeight w:val="340"/>
          <w:jc w:val="center"/>
        </w:trPr>
        <w:tc>
          <w:tcPr>
            <w:tcW w:w="6163" w:type="dxa"/>
            <w:gridSpan w:val="4"/>
            <w:tcBorders>
              <w:top w:val="single" w:sz="12" w:space="0" w:color="00B0F0"/>
              <w:bottom w:val="nil"/>
            </w:tcBorders>
            <w:noWrap/>
            <w:vAlign w:val="center"/>
          </w:tcPr>
          <w:p w:rsidR="008A3D6C" w:rsidRPr="00BF7955" w:rsidRDefault="008A3D6C" w:rsidP="00BF7955">
            <w:pPr>
              <w:rPr>
                <w:rFonts w:ascii="StobiSerif Regular" w:hAnsi="StobiSerif Regular" w:cs="StobiSerif Regular"/>
                <w:i/>
                <w:iCs/>
                <w:lang w:val="mk-MK"/>
              </w:rPr>
            </w:pPr>
            <w:r w:rsidRPr="00BF7955">
              <w:rPr>
                <w:rFonts w:ascii="StobiSerif Regular" w:hAnsi="StobiSerif Regular" w:cs="StobiSerif Regular"/>
                <w:i/>
                <w:iCs/>
                <w:sz w:val="22"/>
                <w:szCs w:val="22"/>
                <w:lang w:val="mk-MK"/>
              </w:rPr>
              <w:t>Вид договор</w:t>
            </w:r>
          </w:p>
        </w:tc>
        <w:tc>
          <w:tcPr>
            <w:tcW w:w="1180" w:type="dxa"/>
            <w:tcBorders>
              <w:top w:val="single" w:sz="12" w:space="0" w:color="00B0F0"/>
              <w:bottom w:val="nil"/>
            </w:tcBorders>
            <w:vAlign w:val="center"/>
          </w:tcPr>
          <w:p w:rsidR="008A3D6C" w:rsidRPr="00BF7955" w:rsidRDefault="008A3D6C" w:rsidP="00BF7955">
            <w:pPr>
              <w:rPr>
                <w:rFonts w:ascii="StobiSerif Regular" w:hAnsi="StobiSerif Regular" w:cs="StobiSerif Regular"/>
                <w:i/>
                <w:iCs/>
                <w:lang w:val="mk-MK"/>
              </w:rPr>
            </w:pPr>
          </w:p>
        </w:tc>
      </w:tr>
      <w:tr w:rsidR="008A3D6C" w:rsidRPr="00BF7955">
        <w:trPr>
          <w:trHeight w:val="340"/>
          <w:jc w:val="center"/>
        </w:trPr>
        <w:tc>
          <w:tcPr>
            <w:tcW w:w="2623" w:type="dxa"/>
            <w:tcBorders>
              <w:top w:val="single" w:sz="12" w:space="0" w:color="00B0F0"/>
              <w:bottom w:val="nil"/>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Скратено работно време</w:t>
            </w:r>
          </w:p>
        </w:tc>
        <w:tc>
          <w:tcPr>
            <w:tcW w:w="1180" w:type="dxa"/>
            <w:tcBorders>
              <w:top w:val="single" w:sz="12" w:space="0" w:color="00B0F0"/>
              <w:bottom w:val="nil"/>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13,4</w:t>
            </w:r>
          </w:p>
        </w:tc>
        <w:tc>
          <w:tcPr>
            <w:tcW w:w="1180" w:type="dxa"/>
            <w:tcBorders>
              <w:top w:val="single" w:sz="12" w:space="0" w:color="00B0F0"/>
              <w:bottom w:val="nil"/>
            </w:tcBorders>
            <w:vAlign w:val="center"/>
          </w:tcPr>
          <w:p w:rsidR="008A3D6C" w:rsidRPr="00BF7955" w:rsidRDefault="008A3D6C" w:rsidP="00BF7955">
            <w:pPr>
              <w:rPr>
                <w:rFonts w:ascii="StobiSerif Regular" w:hAnsi="StobiSerif Regular" w:cs="StobiSerif Regular"/>
                <w:highlight w:val="yellow"/>
                <w:lang w:val="mk-MK"/>
              </w:rPr>
            </w:pPr>
            <w:r w:rsidRPr="00BF7955">
              <w:rPr>
                <w:rFonts w:ascii="StobiSerif Regular" w:hAnsi="StobiSerif Regular" w:cs="StobiSerif Regular"/>
                <w:sz w:val="22"/>
                <w:szCs w:val="22"/>
                <w:lang w:val="mk-MK"/>
              </w:rPr>
              <w:t>9,0</w:t>
            </w:r>
          </w:p>
        </w:tc>
        <w:tc>
          <w:tcPr>
            <w:tcW w:w="1180" w:type="dxa"/>
            <w:tcBorders>
              <w:top w:val="single" w:sz="12" w:space="0" w:color="00B0F0"/>
              <w:bottom w:val="nil"/>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7,2</w:t>
            </w:r>
          </w:p>
        </w:tc>
        <w:tc>
          <w:tcPr>
            <w:tcW w:w="1180" w:type="dxa"/>
            <w:tcBorders>
              <w:top w:val="single" w:sz="12" w:space="0" w:color="00B0F0"/>
              <w:bottom w:val="nil"/>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9,6</w:t>
            </w:r>
          </w:p>
        </w:tc>
      </w:tr>
      <w:tr w:rsidR="008A3D6C" w:rsidRPr="00BF7955">
        <w:trPr>
          <w:trHeight w:val="340"/>
          <w:jc w:val="center"/>
        </w:trPr>
        <w:tc>
          <w:tcPr>
            <w:tcW w:w="2623" w:type="dxa"/>
            <w:tcBorders>
              <w:top w:val="nil"/>
              <w:bottom w:val="single" w:sz="12" w:space="0" w:color="00B0F0"/>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Недоброволно вработување со скратено работно време</w:t>
            </w:r>
          </w:p>
        </w:tc>
        <w:tc>
          <w:tcPr>
            <w:tcW w:w="1180" w:type="dxa"/>
            <w:tcBorders>
              <w:top w:val="nil"/>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33,5</w:t>
            </w:r>
          </w:p>
        </w:tc>
        <w:tc>
          <w:tcPr>
            <w:tcW w:w="1180" w:type="dxa"/>
            <w:tcBorders>
              <w:top w:val="nil"/>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22,2</w:t>
            </w:r>
          </w:p>
        </w:tc>
        <w:tc>
          <w:tcPr>
            <w:tcW w:w="1180" w:type="dxa"/>
            <w:tcBorders>
              <w:top w:val="nil"/>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23,1</w:t>
            </w:r>
          </w:p>
        </w:tc>
        <w:tc>
          <w:tcPr>
            <w:tcW w:w="1180" w:type="dxa"/>
            <w:tcBorders>
              <w:top w:val="nil"/>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w:t>
            </w:r>
          </w:p>
        </w:tc>
      </w:tr>
      <w:tr w:rsidR="008A3D6C" w:rsidRPr="00BF7955">
        <w:trPr>
          <w:trHeight w:val="340"/>
          <w:jc w:val="center"/>
        </w:trPr>
        <w:tc>
          <w:tcPr>
            <w:tcW w:w="2623" w:type="dxa"/>
            <w:tcBorders>
              <w:bottom w:val="single" w:sz="12" w:space="0" w:color="00B0F0"/>
            </w:tcBorders>
            <w:noWrap/>
            <w:vAlign w:val="center"/>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Привремена работа </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34,9</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33,0</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27,6</w:t>
            </w:r>
          </w:p>
        </w:tc>
        <w:tc>
          <w:tcPr>
            <w:tcW w:w="1180" w:type="dxa"/>
            <w:tcBorders>
              <w:bottom w:val="single" w:sz="12" w:space="0" w:color="00B0F0"/>
            </w:tcBorders>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21,7</w:t>
            </w:r>
          </w:p>
        </w:tc>
      </w:tr>
    </w:tbl>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i/>
          <w:iCs/>
          <w:sz w:val="22"/>
          <w:szCs w:val="22"/>
          <w:lang w:val="mk-MK" w:eastAsia="en-GB"/>
        </w:rPr>
        <w:t>Извор:</w:t>
      </w:r>
      <w:r w:rsidRPr="00BF7955">
        <w:rPr>
          <w:rFonts w:ascii="StobiSerif Regular" w:hAnsi="StobiSerif Regular" w:cs="StobiSerif Regular"/>
          <w:sz w:val="22"/>
          <w:szCs w:val="22"/>
          <w:lang w:val="mk-MK" w:eastAsia="en-GB"/>
        </w:rPr>
        <w:t xml:space="preserve"> Државен завод за статистика, </w:t>
      </w:r>
      <w:r w:rsidRPr="00BF7955">
        <w:rPr>
          <w:rFonts w:ascii="StobiSerif Regular" w:hAnsi="StobiSerif Regular" w:cs="StobiSerif Regular"/>
          <w:i/>
          <w:iCs/>
          <w:sz w:val="22"/>
          <w:szCs w:val="22"/>
          <w:lang w:val="mk-MK" w:eastAsia="en-GB"/>
        </w:rPr>
        <w:t>Годишна анкета за работната сила</w:t>
      </w:r>
      <w:r w:rsidRPr="00BF7955">
        <w:rPr>
          <w:rFonts w:ascii="StobiSerif Regular" w:hAnsi="StobiSerif Regular" w:cs="StobiSerif Regular"/>
          <w:sz w:val="22"/>
          <w:szCs w:val="22"/>
          <w:lang w:val="mk-MK" w:eastAsia="en-GB"/>
        </w:rPr>
        <w:t>, различни години</w:t>
      </w:r>
    </w:p>
    <w:p w:rsidR="008A3D6C" w:rsidRPr="00BF7955" w:rsidRDefault="008A3D6C" w:rsidP="00BF7955">
      <w:pPr>
        <w:rPr>
          <w:rFonts w:ascii="StobiSerif Regular" w:hAnsi="StobiSerif Regular" w:cs="StobiSerif Regular"/>
          <w:sz w:val="22"/>
          <w:szCs w:val="22"/>
          <w:lang w:val="mk-MK"/>
        </w:rPr>
      </w:pPr>
    </w:p>
    <w:p w:rsidR="008A3D6C" w:rsidRPr="00BF7955" w:rsidRDefault="008A3D6C" w:rsidP="00B828A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 xml:space="preserve">Во периодот од 2010 до 2014 година, уделот на младите работници што биле вработени со скратено работно време се намалил од 13,4 проценти на 9,6 проценти, исто како и уделот на привремената работа (од 34,9 на 21,7 проценти). Уделот на младите лица што се недоброволно вработени со договор за привремена работа остана екстремно висок (над 78 проценти), но бележи опаѓачки тренд. </w:t>
      </w:r>
    </w:p>
    <w:p w:rsidR="008A3D6C" w:rsidRPr="00BF7955" w:rsidRDefault="008A3D6C" w:rsidP="00B828A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Неформал</w:t>
      </w:r>
      <w:r>
        <w:rPr>
          <w:rFonts w:ascii="StobiSerif Regular" w:hAnsi="StobiSerif Regular" w:cs="StobiSerif Regular"/>
          <w:sz w:val="22"/>
          <w:szCs w:val="22"/>
          <w:lang w:val="mk-MK" w:eastAsia="en-GB"/>
        </w:rPr>
        <w:t>ното вработување се намали од 26,1</w:t>
      </w:r>
      <w:r w:rsidRPr="00BF7955">
        <w:rPr>
          <w:rFonts w:ascii="StobiSerif Regular" w:hAnsi="StobiSerif Regular" w:cs="StobiSerif Regular"/>
          <w:sz w:val="22"/>
          <w:szCs w:val="22"/>
          <w:lang w:val="mk-MK" w:eastAsia="en-GB"/>
        </w:rPr>
        <w:t xml:space="preserve"> проценти од вкупната вработеност во 2010 година на 2</w:t>
      </w:r>
      <w:r>
        <w:rPr>
          <w:rFonts w:ascii="StobiSerif Regular" w:hAnsi="StobiSerif Regular" w:cs="StobiSerif Regular"/>
          <w:sz w:val="22"/>
          <w:szCs w:val="22"/>
          <w:lang w:val="mk-MK" w:eastAsia="en-GB"/>
        </w:rPr>
        <w:t>2,6</w:t>
      </w:r>
      <w:r w:rsidRPr="00BF7955">
        <w:rPr>
          <w:rFonts w:ascii="StobiSerif Regular" w:hAnsi="StobiSerif Regular" w:cs="StobiSerif Regular"/>
          <w:sz w:val="22"/>
          <w:szCs w:val="22"/>
          <w:lang w:val="mk-MK" w:eastAsia="en-GB"/>
        </w:rPr>
        <w:t xml:space="preserve"> проценти во 2014 година. Стапката на неформалното вработување кај младите лица (15-29), меѓутоа, продолжила да се зголемува, достигнувајќи 30,5 проценти во 2014 година (од 27 проценти во 2012 година).  </w:t>
      </w:r>
    </w:p>
    <w:p w:rsidR="008A3D6C" w:rsidRPr="00BF7955" w:rsidRDefault="008A3D6C" w:rsidP="00B828A8">
      <w:pPr>
        <w:jc w:val="both"/>
        <w:rPr>
          <w:rFonts w:ascii="StobiSerif Regular" w:hAnsi="StobiSerif Regular" w:cs="StobiSerif Regular"/>
          <w:b/>
          <w:bCs/>
          <w:color w:val="0070C0"/>
          <w:sz w:val="22"/>
          <w:szCs w:val="22"/>
          <w:lang w:val="mk-MK" w:eastAsia="en-GB"/>
        </w:rPr>
      </w:pPr>
      <w:r w:rsidRPr="00BF7955">
        <w:rPr>
          <w:rFonts w:ascii="StobiSerif Regular" w:hAnsi="StobiSerif Regular" w:cs="StobiSerif Regular"/>
          <w:sz w:val="22"/>
          <w:szCs w:val="22"/>
          <w:lang w:val="mk-MK" w:eastAsia="en-GB"/>
        </w:rPr>
        <w:t>Најголемиот број на работни места за младите лица (15-29) се обезбедуваат од страна на секторите за земјоделство (1</w:t>
      </w:r>
      <w:r>
        <w:rPr>
          <w:rFonts w:ascii="StobiSerif Regular" w:hAnsi="StobiSerif Regular" w:cs="StobiSerif Regular"/>
          <w:sz w:val="22"/>
          <w:szCs w:val="22"/>
          <w:lang w:val="mk-MK" w:eastAsia="en-GB"/>
        </w:rPr>
        <w:t>8,8</w:t>
      </w:r>
      <w:r w:rsidRPr="00BF7955">
        <w:rPr>
          <w:rFonts w:ascii="StobiSerif Regular" w:hAnsi="StobiSerif Regular" w:cs="StobiSerif Regular"/>
          <w:sz w:val="22"/>
          <w:szCs w:val="22"/>
          <w:lang w:val="mk-MK" w:eastAsia="en-GB"/>
        </w:rPr>
        <w:t xml:space="preserve"> проценти од вкупниот број вработени млади лица), производство (1</w:t>
      </w:r>
      <w:r>
        <w:rPr>
          <w:rFonts w:ascii="StobiSerif Regular" w:hAnsi="StobiSerif Regular" w:cs="StobiSerif Regular"/>
          <w:sz w:val="22"/>
          <w:szCs w:val="22"/>
          <w:lang w:val="mk-MK" w:eastAsia="en-GB"/>
        </w:rPr>
        <w:t>8,4</w:t>
      </w:r>
      <w:r w:rsidRPr="00BF7955">
        <w:rPr>
          <w:rFonts w:ascii="StobiSerif Regular" w:hAnsi="StobiSerif Regular" w:cs="StobiSerif Regular"/>
          <w:sz w:val="22"/>
          <w:szCs w:val="22"/>
          <w:lang w:val="mk-MK" w:eastAsia="en-GB"/>
        </w:rPr>
        <w:t xml:space="preserve"> проценти), трговија (1</w:t>
      </w:r>
      <w:r>
        <w:rPr>
          <w:rFonts w:ascii="StobiSerif Regular" w:hAnsi="StobiSerif Regular" w:cs="StobiSerif Regular"/>
          <w:sz w:val="22"/>
          <w:szCs w:val="22"/>
          <w:lang w:val="mk-MK" w:eastAsia="en-GB"/>
        </w:rPr>
        <w:t>8,1</w:t>
      </w:r>
      <w:r w:rsidRPr="00BF7955">
        <w:rPr>
          <w:rFonts w:ascii="StobiSerif Regular" w:hAnsi="StobiSerif Regular" w:cs="StobiSerif Regular"/>
          <w:sz w:val="22"/>
          <w:szCs w:val="22"/>
          <w:lang w:val="mk-MK" w:eastAsia="en-GB"/>
        </w:rPr>
        <w:t xml:space="preserve"> проценти), градежништво (</w:t>
      </w:r>
      <w:r>
        <w:rPr>
          <w:rFonts w:ascii="StobiSerif Regular" w:hAnsi="StobiSerif Regular" w:cs="StobiSerif Regular"/>
          <w:sz w:val="22"/>
          <w:szCs w:val="22"/>
          <w:lang w:val="mk-MK" w:eastAsia="en-GB"/>
        </w:rPr>
        <w:t>7,0 проценти), објекти за сместување и сервисни дејности со храна</w:t>
      </w:r>
      <w:r w:rsidRPr="00BF7955">
        <w:rPr>
          <w:rFonts w:ascii="StobiSerif Regular" w:hAnsi="StobiSerif Regular" w:cs="StobiSerif Regular"/>
          <w:sz w:val="22"/>
          <w:szCs w:val="22"/>
          <w:lang w:val="mk-MK" w:eastAsia="en-GB"/>
        </w:rPr>
        <w:t xml:space="preserve"> (</w:t>
      </w:r>
      <w:r>
        <w:rPr>
          <w:rFonts w:ascii="StobiSerif Regular" w:hAnsi="StobiSerif Regular" w:cs="StobiSerif Regular"/>
          <w:sz w:val="22"/>
          <w:szCs w:val="22"/>
          <w:lang w:val="mk-MK" w:eastAsia="en-GB"/>
        </w:rPr>
        <w:t>6,1</w:t>
      </w:r>
      <w:r w:rsidRPr="00BF7955">
        <w:rPr>
          <w:rFonts w:ascii="StobiSerif Regular" w:hAnsi="StobiSerif Regular" w:cs="StobiSerif Regular"/>
          <w:sz w:val="22"/>
          <w:szCs w:val="22"/>
          <w:lang w:val="mk-MK" w:eastAsia="en-GB"/>
        </w:rPr>
        <w:t xml:space="preserve"> проценти). Работните места во земјоделството, производството и градежништвото се, исто така, најслабо платените работни места (70-75 проценти од просечната месечна плата). </w:t>
      </w:r>
    </w:p>
    <w:p w:rsidR="008A3D6C" w:rsidRPr="00BF7955" w:rsidRDefault="008A3D6C" w:rsidP="00B828A8">
      <w:pPr>
        <w:jc w:val="both"/>
        <w:rPr>
          <w:rFonts w:ascii="StobiSerif Regular" w:hAnsi="StobiSerif Regular" w:cs="StobiSerif Regular"/>
          <w:b/>
          <w:bCs/>
          <w:color w:val="0070C0"/>
          <w:sz w:val="22"/>
          <w:szCs w:val="22"/>
          <w:lang w:val="mk-MK" w:eastAsia="en-GB"/>
        </w:rPr>
      </w:pPr>
      <w:r w:rsidRPr="00BF7955">
        <w:rPr>
          <w:rFonts w:ascii="StobiSerif Regular" w:hAnsi="StobiSerif Regular" w:cs="StobiSerif Regular"/>
          <w:b/>
          <w:bCs/>
          <w:color w:val="0070C0"/>
          <w:sz w:val="22"/>
          <w:szCs w:val="22"/>
          <w:lang w:val="mk-MK" w:eastAsia="en-GB"/>
        </w:rPr>
        <w:br w:type="page"/>
      </w:r>
    </w:p>
    <w:p w:rsidR="008A3D6C" w:rsidRPr="00BF7955" w:rsidRDefault="008A3D6C" w:rsidP="00BF7955">
      <w:pPr>
        <w:rPr>
          <w:rFonts w:ascii="StobiSerif Regular" w:hAnsi="StobiSerif Regular" w:cs="StobiSerif Regular"/>
          <w:b/>
          <w:bCs/>
          <w:color w:val="0070C0"/>
          <w:sz w:val="22"/>
          <w:szCs w:val="22"/>
          <w:lang w:val="mk-MK" w:eastAsia="en-GB"/>
        </w:rPr>
      </w:pPr>
      <w:r w:rsidRPr="00BF7955">
        <w:rPr>
          <w:rFonts w:ascii="StobiSerif Regular" w:hAnsi="StobiSerif Regular" w:cs="StobiSerif Regular"/>
          <w:b/>
          <w:bCs/>
          <w:color w:val="0070C0"/>
          <w:sz w:val="22"/>
          <w:szCs w:val="22"/>
          <w:lang w:val="mk-MK" w:eastAsia="en-GB"/>
        </w:rPr>
        <w:t>Слика 4: Вработеност на младите лица (15-29) според економскиот сектор (2012-2014 г.)</w:t>
      </w:r>
    </w:p>
    <w:p w:rsidR="008A3D6C" w:rsidRPr="00BF7955" w:rsidRDefault="008A3D6C" w:rsidP="00BF7955">
      <w:pPr>
        <w:rPr>
          <w:rFonts w:ascii="StobiSerif Regular" w:hAnsi="StobiSerif Regular" w:cs="StobiSerif Regular"/>
          <w:sz w:val="22"/>
          <w:szCs w:val="22"/>
          <w:lang w:val="mk-MK" w:eastAsia="en-GB"/>
        </w:rPr>
      </w:pPr>
      <w:bookmarkStart w:id="4" w:name="_MON_1497010846"/>
      <w:bookmarkEnd w:id="4"/>
      <w:r w:rsidRPr="00CF0EA9">
        <w:rPr>
          <w:rFonts w:ascii="StobiSerif Regular" w:hAnsi="StobiSerif Regular" w:cs="StobiSerif Regular"/>
          <w:sz w:val="22"/>
          <w:szCs w:val="22"/>
          <w:lang w:val="mk-MK" w:eastAsia="en-GB"/>
        </w:rPr>
        <w:pict>
          <v:shape id="_x0000_i1028" type="#_x0000_t75" style="width:364.5pt;height:189pt">
            <v:imagedata r:id="rId13" o:title=""/>
          </v:shape>
        </w:pic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i/>
          <w:iCs/>
          <w:sz w:val="22"/>
          <w:szCs w:val="22"/>
          <w:lang w:val="mk-MK" w:eastAsia="en-GB"/>
        </w:rPr>
        <w:t xml:space="preserve">Извор: </w:t>
      </w:r>
      <w:r w:rsidRPr="00BF7955">
        <w:rPr>
          <w:rFonts w:ascii="StobiSerif Regular" w:hAnsi="StobiSerif Regular" w:cs="StobiSerif Regular"/>
          <w:sz w:val="22"/>
          <w:szCs w:val="22"/>
          <w:lang w:val="mk-MK" w:eastAsia="en-GB"/>
        </w:rPr>
        <w:t xml:space="preserve">Државен завод за статистика, </w:t>
      </w:r>
      <w:r w:rsidRPr="00BF7955">
        <w:rPr>
          <w:rFonts w:ascii="StobiSerif Regular" w:hAnsi="StobiSerif Regular" w:cs="StobiSerif Regular"/>
          <w:i/>
          <w:iCs/>
          <w:sz w:val="22"/>
          <w:szCs w:val="22"/>
          <w:lang w:val="mk-MK" w:eastAsia="en-GB"/>
        </w:rPr>
        <w:t>Анкета за работната сила</w:t>
      </w:r>
      <w:r w:rsidRPr="00BF7955">
        <w:rPr>
          <w:rFonts w:ascii="StobiSerif Regular" w:hAnsi="StobiSerif Regular" w:cs="StobiSerif Regular"/>
          <w:sz w:val="22"/>
          <w:szCs w:val="22"/>
          <w:lang w:val="mk-MK" w:eastAsia="en-GB"/>
        </w:rPr>
        <w:t>, 2012-2014 г.</w:t>
      </w:r>
    </w:p>
    <w:p w:rsidR="008A3D6C" w:rsidRPr="00BF7955" w:rsidRDefault="008A3D6C" w:rsidP="00BF7955">
      <w:pPr>
        <w:rPr>
          <w:rFonts w:ascii="StobiSerif Regular" w:hAnsi="StobiSerif Regular" w:cs="StobiSerif Regular"/>
          <w:sz w:val="22"/>
          <w:szCs w:val="22"/>
          <w:lang w:val="mk-MK" w:eastAsia="en-GB"/>
        </w:rPr>
      </w:pPr>
    </w:p>
    <w:p w:rsidR="008A3D6C" w:rsidRDefault="008A3D6C" w:rsidP="00E73238">
      <w:pPr>
        <w:ind w:firstLine="720"/>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 xml:space="preserve">Најбараните занимања за сите слободни работни места претрпеа поместувања во последните две години (Слика 5). Работниците во услужните дејности и продажбата останаа најбараните занимања (една третина од сите слободни работни места), додека, пак, потребата за општи работници, техничари, стручњаци и службеници забележала нагло опаѓање. Занимањата што бараат високо ниво на вештини (раководители, стручњаци и техничари) се намалиле од приближно 33 проценти на само една четвртина од вкупниот број на слободните работни места, додека пак занимањата што бараат средно ниво на вештини (ракувачи со постројки и машини и занимањата за неиндустриски начин на работа во производството) полека ги заменуваат елементарните занимања. </w:t>
      </w:r>
    </w:p>
    <w:p w:rsidR="008A3D6C" w:rsidRDefault="008A3D6C" w:rsidP="00E73238">
      <w:pPr>
        <w:jc w:val="both"/>
        <w:rPr>
          <w:rFonts w:ascii="StobiSerif Regular" w:hAnsi="StobiSerif Regular" w:cs="StobiSerif Regular"/>
          <w:sz w:val="22"/>
          <w:szCs w:val="22"/>
          <w:lang w:val="mk-MK" w:eastAsia="en-GB"/>
        </w:rPr>
      </w:pPr>
      <w:r>
        <w:rPr>
          <w:rFonts w:ascii="StobiSerif Regular" w:hAnsi="StobiSerif Regular" w:cs="StobiSerif Regular"/>
          <w:sz w:val="22"/>
          <w:szCs w:val="22"/>
          <w:lang w:val="mk-MK" w:eastAsia="en-GB"/>
        </w:rPr>
        <w:br w:type="page"/>
      </w:r>
    </w:p>
    <w:p w:rsidR="008A3D6C" w:rsidRPr="00BF7955" w:rsidRDefault="008A3D6C" w:rsidP="00BF7955">
      <w:pPr>
        <w:rPr>
          <w:rFonts w:ascii="StobiSerif Regular" w:hAnsi="StobiSerif Regular" w:cs="StobiSerif Regular"/>
          <w:sz w:val="22"/>
          <w:szCs w:val="22"/>
          <w:lang w:val="mk-MK" w:eastAsia="en-GB"/>
        </w:rPr>
      </w:pPr>
    </w:p>
    <w:p w:rsidR="008A3D6C" w:rsidRPr="00BF7955" w:rsidRDefault="008A3D6C" w:rsidP="00BF7955">
      <w:pPr>
        <w:rPr>
          <w:rFonts w:ascii="StobiSerif Regular" w:hAnsi="StobiSerif Regular" w:cs="StobiSerif Regular"/>
          <w:b/>
          <w:bCs/>
          <w:color w:val="0070C0"/>
          <w:sz w:val="22"/>
          <w:szCs w:val="22"/>
          <w:lang w:val="mk-MK" w:eastAsia="en-GB"/>
        </w:rPr>
      </w:pPr>
      <w:r w:rsidRPr="00BF7955">
        <w:rPr>
          <w:rFonts w:ascii="StobiSerif Regular" w:hAnsi="StobiSerif Regular" w:cs="StobiSerif Regular"/>
          <w:b/>
          <w:bCs/>
          <w:color w:val="0070C0"/>
          <w:sz w:val="22"/>
          <w:szCs w:val="22"/>
          <w:lang w:val="mk-MK" w:eastAsia="en-GB"/>
        </w:rPr>
        <w:t>Слика 5: Слободни работни места според структура на занимањата (</w:t>
      </w:r>
      <w:r>
        <w:rPr>
          <w:rFonts w:ascii="StobiSerif Regular" w:hAnsi="StobiSerif Regular" w:cs="StobiSerif Regular"/>
          <w:b/>
          <w:bCs/>
          <w:color w:val="0070C0"/>
          <w:sz w:val="22"/>
          <w:szCs w:val="22"/>
          <w:lang w:val="mk-MK" w:eastAsia="en-GB"/>
        </w:rPr>
        <w:t xml:space="preserve">IV квартал </w:t>
      </w:r>
      <w:r w:rsidRPr="00BF7955">
        <w:rPr>
          <w:rFonts w:ascii="StobiSerif Regular" w:hAnsi="StobiSerif Regular" w:cs="StobiSerif Regular"/>
          <w:b/>
          <w:bCs/>
          <w:color w:val="0070C0"/>
          <w:sz w:val="22"/>
          <w:szCs w:val="22"/>
          <w:lang w:val="mk-MK" w:eastAsia="en-GB"/>
        </w:rPr>
        <w:t>2012-</w:t>
      </w:r>
      <w:r>
        <w:rPr>
          <w:rFonts w:ascii="StobiSerif Regular" w:hAnsi="StobiSerif Regular" w:cs="StobiSerif Regular"/>
          <w:b/>
          <w:bCs/>
          <w:color w:val="0070C0"/>
          <w:sz w:val="22"/>
          <w:szCs w:val="22"/>
          <w:lang w:val="mk-MK" w:eastAsia="en-GB"/>
        </w:rPr>
        <w:t xml:space="preserve"> IV квартал </w:t>
      </w:r>
      <w:r w:rsidRPr="00BF7955">
        <w:rPr>
          <w:rFonts w:ascii="StobiSerif Regular" w:hAnsi="StobiSerif Regular" w:cs="StobiSerif Regular"/>
          <w:b/>
          <w:bCs/>
          <w:color w:val="0070C0"/>
          <w:sz w:val="22"/>
          <w:szCs w:val="22"/>
          <w:lang w:val="mk-MK" w:eastAsia="en-GB"/>
        </w:rPr>
        <w:t>2014 г.)</w:t>
      </w:r>
    </w:p>
    <w:p w:rsidR="008A3D6C" w:rsidRPr="00BF7955" w:rsidRDefault="008A3D6C" w:rsidP="00BF7955">
      <w:pPr>
        <w:rPr>
          <w:rFonts w:ascii="StobiSerif Regular" w:hAnsi="StobiSerif Regular" w:cs="StobiSerif Regular"/>
          <w:sz w:val="22"/>
          <w:szCs w:val="22"/>
          <w:lang w:val="mk-MK"/>
        </w:rPr>
      </w:pPr>
      <w:bookmarkStart w:id="5" w:name="_MON_1497011522"/>
      <w:bookmarkEnd w:id="5"/>
      <w:r w:rsidRPr="00CF0EA9">
        <w:rPr>
          <w:rFonts w:ascii="StobiSerif Regular" w:hAnsi="StobiSerif Regular" w:cs="StobiSerif Regular"/>
          <w:sz w:val="22"/>
          <w:szCs w:val="22"/>
          <w:lang w:val="mk-MK"/>
        </w:rPr>
        <w:pict>
          <v:shape id="_x0000_i1029" type="#_x0000_t75" style="width:393.75pt;height:200.25pt">
            <v:imagedata r:id="rId14" o:title=""/>
          </v:shape>
        </w:pic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i/>
          <w:iCs/>
          <w:sz w:val="22"/>
          <w:szCs w:val="22"/>
          <w:lang w:val="mk-MK" w:eastAsia="en-GB"/>
        </w:rPr>
        <w:t xml:space="preserve">Извор: </w:t>
      </w:r>
      <w:r w:rsidRPr="00BF7955">
        <w:rPr>
          <w:rFonts w:ascii="StobiSerif Regular" w:hAnsi="StobiSerif Regular" w:cs="StobiSerif Regular"/>
          <w:sz w:val="22"/>
          <w:szCs w:val="22"/>
          <w:lang w:val="mk-MK" w:eastAsia="en-GB"/>
        </w:rPr>
        <w:t xml:space="preserve">Државен завод за статистика, </w:t>
      </w:r>
      <w:r w:rsidRPr="00BF7955">
        <w:rPr>
          <w:rFonts w:ascii="StobiSerif Regular" w:hAnsi="StobiSerif Regular" w:cs="StobiSerif Regular"/>
          <w:i/>
          <w:iCs/>
          <w:sz w:val="22"/>
          <w:szCs w:val="22"/>
          <w:lang w:val="mk-MK" w:eastAsia="en-GB"/>
        </w:rPr>
        <w:t>Анкета за слободни работни места</w:t>
      </w:r>
      <w:r w:rsidRPr="00BF7955">
        <w:rPr>
          <w:rFonts w:ascii="StobiSerif Regular" w:hAnsi="StobiSerif Regular" w:cs="StobiSerif Regular"/>
          <w:sz w:val="22"/>
          <w:szCs w:val="22"/>
          <w:lang w:val="mk-MK" w:eastAsia="en-GB"/>
        </w:rPr>
        <w:t>, 2012-2014 г.</w:t>
      </w:r>
    </w:p>
    <w:p w:rsidR="008A3D6C" w:rsidRPr="00BF7955" w:rsidRDefault="008A3D6C" w:rsidP="00EE1C76">
      <w:pPr>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br w:type="page"/>
      </w:r>
    </w:p>
    <w:p w:rsidR="008A3D6C" w:rsidRPr="00BF7955" w:rsidRDefault="008A3D6C" w:rsidP="009A33BA">
      <w:pPr>
        <w:ind w:firstLine="720"/>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Стапката на невработеност на младите лица (15-29) се намалила од 47 проценти во 2010 година на 45,1 проценти во 2014 година, додека пак стапката на невработеност на возрасните работници (30-64) опаѓала многу побрзо (од 28,7 проценти на 22,9 проценти). Намалувањето на стапката на невработеност на младите лица првенствено се концентрирала на двата краја на образовната скала, при што младите лица со пониско ниво на образование и лицата со завршено високо образование забележале опаѓање од 13,4 и 11,1 процентни поени, соодветно. Невработеноста на младите останува првенствено долгорочна појава. Младите возрасни лица (25-29) имаат поголема веројатност да бидат долгорочно невработени од помладата возрасна група (83,7 проценти и 67,2 проценти, соодветно) со мали промени во споредба со 2010 година.</w:t>
      </w:r>
    </w:p>
    <w:p w:rsidR="008A3D6C" w:rsidRPr="00BF7955" w:rsidRDefault="008A3D6C" w:rsidP="009B3D16">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Невработеноста кај младите лица се намалува за повисоките нивоа на образование, при што младите лица без образование или со многу ниско образование се соочуваат со повисоки стапки на невработеност отколку лицата што завршиле средно и високо образование.  Меѓутоа, фактот што стапката на невработеност на младите лица со факултетска диплома (46,3 проценти во 2014 година) е повисока од стапката на невработеност на лицата со завршено општо средно образование (43,7 проценти) и на лицата со завршено средно стручно образование (40 проценти) укажува на постоењето на неусогласеност меѓу исходите од високото образование и барањата на пазарот на трудот (Слика 6). </w:t>
      </w:r>
    </w:p>
    <w:p w:rsidR="008A3D6C" w:rsidRPr="00BF7955" w:rsidRDefault="008A3D6C" w:rsidP="00BF7955">
      <w:pPr>
        <w:rPr>
          <w:rFonts w:ascii="StobiSerif Regular" w:hAnsi="StobiSerif Regular" w:cs="StobiSerif Regular"/>
          <w:b/>
          <w:bCs/>
          <w:color w:val="0070C0"/>
          <w:sz w:val="22"/>
          <w:szCs w:val="22"/>
          <w:lang w:val="mk-MK" w:eastAsia="en-GB"/>
        </w:rPr>
      </w:pPr>
      <w:r w:rsidRPr="00BF7955">
        <w:rPr>
          <w:rFonts w:ascii="StobiSerif Regular" w:hAnsi="StobiSerif Regular" w:cs="StobiSerif Regular"/>
          <w:b/>
          <w:bCs/>
          <w:color w:val="0070C0"/>
          <w:sz w:val="22"/>
          <w:szCs w:val="22"/>
          <w:lang w:val="mk-MK" w:eastAsia="en-GB"/>
        </w:rPr>
        <w:t>Слика 6: Стапка на невработеност на младите лица (15-29) според нивото на образование (2014 г.)</w:t>
      </w:r>
    </w:p>
    <w:p w:rsidR="008A3D6C" w:rsidRPr="00BF7955" w:rsidRDefault="008A3D6C" w:rsidP="00BF7955">
      <w:pPr>
        <w:rPr>
          <w:rFonts w:ascii="StobiSerif Regular" w:hAnsi="StobiSerif Regular" w:cs="StobiSerif Regular"/>
          <w:sz w:val="22"/>
          <w:szCs w:val="22"/>
          <w:lang w:val="mk-MK" w:eastAsia="en-GB"/>
        </w:rPr>
      </w:pPr>
      <w:bookmarkStart w:id="6" w:name="_MON_1497012414"/>
      <w:bookmarkEnd w:id="6"/>
      <w:r w:rsidRPr="00CF0EA9">
        <w:rPr>
          <w:rFonts w:ascii="StobiSerif Regular" w:hAnsi="StobiSerif Regular" w:cs="StobiSerif Regular"/>
          <w:sz w:val="22"/>
          <w:szCs w:val="22"/>
          <w:lang w:val="mk-MK" w:eastAsia="en-GB"/>
        </w:rPr>
        <w:pict>
          <v:shape id="_x0000_i1030" type="#_x0000_t75" style="width:300pt;height:243pt">
            <v:imagedata r:id="rId15" o:title=""/>
          </v:shape>
        </w:pic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i/>
          <w:iCs/>
          <w:sz w:val="22"/>
          <w:szCs w:val="22"/>
          <w:lang w:val="mk-MK" w:eastAsia="en-GB"/>
        </w:rPr>
        <w:t xml:space="preserve">Извор: </w:t>
      </w:r>
      <w:r w:rsidRPr="00BF7955">
        <w:rPr>
          <w:rFonts w:ascii="StobiSerif Regular" w:hAnsi="StobiSerif Regular" w:cs="StobiSerif Regular"/>
          <w:sz w:val="22"/>
          <w:szCs w:val="22"/>
          <w:lang w:val="mk-MK" w:eastAsia="en-GB"/>
        </w:rPr>
        <w:t xml:space="preserve">Државен завод за статистика, </w:t>
      </w:r>
      <w:r w:rsidRPr="00BF7955">
        <w:rPr>
          <w:rFonts w:ascii="StobiSerif Regular" w:hAnsi="StobiSerif Regular" w:cs="StobiSerif Regular"/>
          <w:i/>
          <w:iCs/>
          <w:sz w:val="22"/>
          <w:szCs w:val="22"/>
          <w:lang w:val="mk-MK" w:eastAsia="en-GB"/>
        </w:rPr>
        <w:t>Анкета за работната сила</w:t>
      </w:r>
      <w:r w:rsidRPr="00BF7955">
        <w:rPr>
          <w:rFonts w:ascii="StobiSerif Regular" w:hAnsi="StobiSerif Regular" w:cs="StobiSerif Regular"/>
          <w:sz w:val="22"/>
          <w:szCs w:val="22"/>
          <w:lang w:val="mk-MK" w:eastAsia="en-GB"/>
        </w:rPr>
        <w:t>, прелиминарни податоци за 2014 г.</w:t>
      </w:r>
    </w:p>
    <w:p w:rsidR="008A3D6C" w:rsidRPr="00BF7955" w:rsidRDefault="008A3D6C" w:rsidP="00BF7955">
      <w:pPr>
        <w:rPr>
          <w:rFonts w:ascii="StobiSerif Regular" w:hAnsi="StobiSerif Regular" w:cs="StobiSerif Regular"/>
          <w:sz w:val="22"/>
          <w:szCs w:val="22"/>
          <w:lang w:val="mk-MK"/>
        </w:rPr>
      </w:pPr>
    </w:p>
    <w:p w:rsidR="008A3D6C" w:rsidRPr="00BF7955" w:rsidRDefault="008A3D6C" w:rsidP="009A33BA">
      <w:pPr>
        <w:ind w:firstLine="720"/>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Резултатите од високото образование, исто така, се поткопани од релативно високите стапки на преквалификуваност (19,1 проценти од вкупната вработеност кај младите лица) и зачестеноста на вработувањето во економските сектори што се изложени на висока стапка на обрт на работната сила, аранжмани за привремена работа и пониски нивоа на платите (елементарни занимања и работни места на службеници и работници во услужни дејности и продажба). Табела 4 долу покажува дека најголемиот дел од неусогласеноста меѓу образованието и занимањето отпаѓа на младите лица со завршено средно образование што работат на елементарни занимања (56,4 проценти неусогласеност) и младите лица со високо образование што работат како службеници и работници во продажбата (31,2 проценти од вкупната неусогласеност).</w:t>
      </w:r>
      <w:r w:rsidRPr="00BF7955">
        <w:rPr>
          <w:rStyle w:val="FootnoteReference"/>
          <w:rFonts w:ascii="StobiSerif Regular" w:hAnsi="StobiSerif Regular" w:cs="StobiSerif Regular"/>
          <w:sz w:val="22"/>
          <w:szCs w:val="22"/>
          <w:lang w:val="mk-MK"/>
        </w:rPr>
        <w:footnoteReference w:id="3"/>
      </w:r>
    </w:p>
    <w:p w:rsidR="008A3D6C" w:rsidRPr="00BF7955" w:rsidRDefault="008A3D6C" w:rsidP="00EE1C76">
      <w:pPr>
        <w:rPr>
          <w:rFonts w:ascii="StobiSerif Regular" w:hAnsi="StobiSerif Regular" w:cs="StobiSerif Regular"/>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eastAsia="it-IT"/>
        </w:rPr>
      </w:pPr>
      <w:r w:rsidRPr="00BF7955">
        <w:rPr>
          <w:rFonts w:ascii="StobiSerif Regular" w:hAnsi="StobiSerif Regular" w:cs="StobiSerif Regular"/>
          <w:b/>
          <w:bCs/>
          <w:color w:val="0070C0"/>
          <w:sz w:val="22"/>
          <w:szCs w:val="22"/>
          <w:lang w:val="mk-MK" w:eastAsia="it-IT"/>
        </w:rPr>
        <w:t xml:space="preserve">Табела 4: Неусогласеноста меѓу образованието и занимањата како функција на ISCO и ISCED, 2014 г. </w:t>
      </w:r>
    </w:p>
    <w:tbl>
      <w:tblPr>
        <w:tblW w:w="8748" w:type="dxa"/>
        <w:jc w:val="center"/>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ayout w:type="fixed"/>
        <w:tblLook w:val="01E0"/>
      </w:tblPr>
      <w:tblGrid>
        <w:gridCol w:w="567"/>
        <w:gridCol w:w="4253"/>
        <w:gridCol w:w="567"/>
        <w:gridCol w:w="541"/>
        <w:gridCol w:w="593"/>
        <w:gridCol w:w="567"/>
        <w:gridCol w:w="567"/>
        <w:gridCol w:w="567"/>
        <w:gridCol w:w="526"/>
      </w:tblGrid>
      <w:tr w:rsidR="008A3D6C" w:rsidRPr="00BF7955">
        <w:trPr>
          <w:trHeight w:val="284"/>
          <w:jc w:val="center"/>
        </w:trPr>
        <w:tc>
          <w:tcPr>
            <w:tcW w:w="4820" w:type="dxa"/>
            <w:gridSpan w:val="2"/>
            <w:vMerge w:val="restart"/>
            <w:tcBorders>
              <w:top w:val="single" w:sz="12" w:space="0" w:color="0070C0"/>
            </w:tcBorders>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ISCO-08</w:t>
            </w:r>
          </w:p>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Главни групи</w:t>
            </w:r>
          </w:p>
        </w:tc>
        <w:tc>
          <w:tcPr>
            <w:tcW w:w="3928" w:type="dxa"/>
            <w:gridSpan w:val="7"/>
            <w:tcBorders>
              <w:top w:val="single" w:sz="12" w:space="0" w:color="0070C0"/>
            </w:tcBorders>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ISCED-97 Образовно ниво</w:t>
            </w:r>
          </w:p>
        </w:tc>
      </w:tr>
      <w:tr w:rsidR="008A3D6C" w:rsidRPr="00BF7955">
        <w:trPr>
          <w:trHeight w:val="284"/>
          <w:jc w:val="center"/>
        </w:trPr>
        <w:tc>
          <w:tcPr>
            <w:tcW w:w="4820" w:type="dxa"/>
            <w:gridSpan w:val="2"/>
            <w:vMerge/>
            <w:shd w:val="clear" w:color="auto" w:fill="C6D9F1"/>
            <w:vAlign w:val="center"/>
          </w:tcPr>
          <w:p w:rsidR="008A3D6C" w:rsidRPr="00BF7955" w:rsidRDefault="008A3D6C" w:rsidP="00E73238">
            <w:pPr>
              <w:rPr>
                <w:rFonts w:ascii="StobiSerif Regular" w:hAnsi="StobiSerif Regular" w:cs="StobiSerif Regular"/>
                <w:b/>
                <w:bCs/>
                <w:lang w:val="mk-MK"/>
              </w:rPr>
            </w:pPr>
          </w:p>
        </w:tc>
        <w:tc>
          <w:tcPr>
            <w:tcW w:w="567" w:type="dxa"/>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0</w:t>
            </w:r>
          </w:p>
        </w:tc>
        <w:tc>
          <w:tcPr>
            <w:tcW w:w="541" w:type="dxa"/>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1</w:t>
            </w:r>
          </w:p>
        </w:tc>
        <w:tc>
          <w:tcPr>
            <w:tcW w:w="593" w:type="dxa"/>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2</w:t>
            </w:r>
          </w:p>
        </w:tc>
        <w:tc>
          <w:tcPr>
            <w:tcW w:w="567" w:type="dxa"/>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3</w:t>
            </w:r>
          </w:p>
        </w:tc>
        <w:tc>
          <w:tcPr>
            <w:tcW w:w="567" w:type="dxa"/>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4</w:t>
            </w:r>
          </w:p>
        </w:tc>
        <w:tc>
          <w:tcPr>
            <w:tcW w:w="567" w:type="dxa"/>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5</w:t>
            </w:r>
          </w:p>
        </w:tc>
        <w:tc>
          <w:tcPr>
            <w:tcW w:w="526" w:type="dxa"/>
            <w:shd w:val="clear" w:color="auto" w:fill="C6D9F1"/>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6</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Раководители</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w:t>
            </w:r>
          </w:p>
        </w:tc>
        <w:tc>
          <w:tcPr>
            <w:tcW w:w="1134" w:type="dxa"/>
            <w:gridSpan w:val="2"/>
            <w:shd w:val="clear" w:color="auto" w:fill="FFFFFF"/>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1.196</w:t>
            </w:r>
          </w:p>
        </w:tc>
        <w:tc>
          <w:tcPr>
            <w:tcW w:w="1093" w:type="dxa"/>
            <w:gridSpan w:val="2"/>
            <w:shd w:val="clear" w:color="auto" w:fill="FFFFFF"/>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715</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Стручњаци</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w:t>
            </w:r>
          </w:p>
        </w:tc>
        <w:tc>
          <w:tcPr>
            <w:tcW w:w="1134" w:type="dxa"/>
            <w:gridSpan w:val="2"/>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w:t>
            </w:r>
          </w:p>
        </w:tc>
        <w:tc>
          <w:tcPr>
            <w:tcW w:w="1093" w:type="dxa"/>
            <w:gridSpan w:val="2"/>
            <w:shd w:val="clear" w:color="auto" w:fill="FFFFFF"/>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16.887</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Техничари и сродни занимања</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w:t>
            </w:r>
          </w:p>
        </w:tc>
        <w:tc>
          <w:tcPr>
            <w:tcW w:w="1134" w:type="dxa"/>
            <w:gridSpan w:val="2"/>
            <w:shd w:val="clear" w:color="auto" w:fill="FFFFFF"/>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6.604</w:t>
            </w:r>
          </w:p>
        </w:tc>
        <w:tc>
          <w:tcPr>
            <w:tcW w:w="1093" w:type="dxa"/>
            <w:gridSpan w:val="2"/>
            <w:shd w:val="clear" w:color="auto" w:fill="FFFFFF"/>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3.059</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4</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Службеници</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596</w:t>
            </w:r>
          </w:p>
        </w:tc>
        <w:tc>
          <w:tcPr>
            <w:tcW w:w="1134" w:type="dxa"/>
            <w:gridSpan w:val="2"/>
            <w:shd w:val="clear" w:color="auto" w:fill="FFFFFF"/>
          </w:tcPr>
          <w:p w:rsidR="008A3D6C" w:rsidRPr="00BF7955" w:rsidRDefault="008A3D6C" w:rsidP="00BF7955">
            <w:pPr>
              <w:rPr>
                <w:rFonts w:ascii="StobiSerif Regular" w:hAnsi="StobiSerif Regular" w:cs="StobiSerif Regular"/>
                <w:color w:val="000000"/>
                <w:lang w:val="mk-MK"/>
              </w:rPr>
            </w:pPr>
            <w:r>
              <w:rPr>
                <w:rFonts w:ascii="StobiSerif Regular" w:hAnsi="StobiSerif Regular" w:cs="StobiSerif Regular"/>
                <w:sz w:val="22"/>
                <w:szCs w:val="22"/>
                <w:lang w:val="mk-MK"/>
              </w:rPr>
              <w:t>4.551</w:t>
            </w:r>
          </w:p>
        </w:tc>
        <w:tc>
          <w:tcPr>
            <w:tcW w:w="1093" w:type="dxa"/>
            <w:gridSpan w:val="2"/>
            <w:shd w:val="clear" w:color="auto" w:fill="DAEEF3"/>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2.814</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5</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Работници во услужни дејности и продажба</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Pr>
                <w:rFonts w:ascii="StobiSerif Regular" w:hAnsi="StobiSerif Regular" w:cs="StobiSerif Regular"/>
                <w:sz w:val="22"/>
                <w:szCs w:val="22"/>
                <w:lang w:val="mk-MK"/>
              </w:rPr>
              <w:t>2.482</w:t>
            </w:r>
          </w:p>
        </w:tc>
        <w:tc>
          <w:tcPr>
            <w:tcW w:w="1134" w:type="dxa"/>
            <w:gridSpan w:val="2"/>
            <w:shd w:val="clear" w:color="auto" w:fill="FFFFFF"/>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1</w:t>
            </w:r>
            <w:r>
              <w:rPr>
                <w:rFonts w:ascii="StobiSerif Regular" w:hAnsi="StobiSerif Regular" w:cs="StobiSerif Regular"/>
                <w:sz w:val="22"/>
                <w:szCs w:val="22"/>
                <w:lang w:val="mk-MK"/>
              </w:rPr>
              <w:t>9.442</w:t>
            </w:r>
          </w:p>
        </w:tc>
        <w:tc>
          <w:tcPr>
            <w:tcW w:w="1093" w:type="dxa"/>
            <w:gridSpan w:val="2"/>
            <w:shd w:val="clear" w:color="auto" w:fill="DAEEF3"/>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4.301</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6</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Стручни работници во земјоделството, шумарството и рибарството</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692</w:t>
            </w:r>
          </w:p>
        </w:tc>
        <w:tc>
          <w:tcPr>
            <w:tcW w:w="1134" w:type="dxa"/>
            <w:gridSpan w:val="2"/>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1.083</w:t>
            </w:r>
          </w:p>
        </w:tc>
        <w:tc>
          <w:tcPr>
            <w:tcW w:w="1093" w:type="dxa"/>
            <w:gridSpan w:val="2"/>
            <w:shd w:val="clear" w:color="auto" w:fill="DAEEF3"/>
            <w:vAlign w:val="bottom"/>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0</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7</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Занимања за неиндустриски начин на работа во производството</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Pr>
                <w:rFonts w:ascii="StobiSerif Regular" w:hAnsi="StobiSerif Regular" w:cs="StobiSerif Regular"/>
                <w:sz w:val="22"/>
                <w:szCs w:val="22"/>
                <w:lang w:val="mk-MK"/>
              </w:rPr>
              <w:t>2.194</w:t>
            </w:r>
          </w:p>
        </w:tc>
        <w:tc>
          <w:tcPr>
            <w:tcW w:w="1134" w:type="dxa"/>
            <w:gridSpan w:val="2"/>
            <w:shd w:val="clear" w:color="auto" w:fill="FFFFFF"/>
          </w:tcPr>
          <w:p w:rsidR="008A3D6C" w:rsidRPr="00BF7955" w:rsidRDefault="008A3D6C" w:rsidP="00BF7955">
            <w:pPr>
              <w:rPr>
                <w:rFonts w:ascii="StobiSerif Regular" w:hAnsi="StobiSerif Regular" w:cs="StobiSerif Regular"/>
                <w:color w:val="000000"/>
                <w:lang w:val="mk-MK"/>
              </w:rPr>
            </w:pPr>
            <w:r>
              <w:rPr>
                <w:rFonts w:ascii="StobiSerif Regular" w:hAnsi="StobiSerif Regular" w:cs="StobiSerif Regular"/>
                <w:sz w:val="22"/>
                <w:szCs w:val="22"/>
                <w:lang w:val="mk-MK"/>
              </w:rPr>
              <w:t>9.919</w:t>
            </w:r>
          </w:p>
        </w:tc>
        <w:tc>
          <w:tcPr>
            <w:tcW w:w="1093" w:type="dxa"/>
            <w:gridSpan w:val="2"/>
            <w:shd w:val="clear" w:color="auto" w:fill="DAEEF3"/>
            <w:vAlign w:val="bottom"/>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521</w:t>
            </w:r>
          </w:p>
        </w:tc>
      </w:tr>
      <w:tr w:rsidR="008A3D6C" w:rsidRPr="00BF7955">
        <w:trPr>
          <w:trHeight w:val="284"/>
          <w:jc w:val="center"/>
        </w:trPr>
        <w:tc>
          <w:tcPr>
            <w:tcW w:w="567" w:type="dxa"/>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8</w:t>
            </w:r>
          </w:p>
        </w:tc>
        <w:tc>
          <w:tcPr>
            <w:tcW w:w="4253" w:type="dxa"/>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Ракувачи и составувачи на машини и постројки</w:t>
            </w:r>
          </w:p>
        </w:tc>
        <w:tc>
          <w:tcPr>
            <w:tcW w:w="1701" w:type="dxa"/>
            <w:gridSpan w:val="3"/>
            <w:shd w:val="clear" w:color="auto" w:fill="FFFFFF"/>
            <w:vAlign w:val="bottom"/>
          </w:tcPr>
          <w:p w:rsidR="008A3D6C" w:rsidRPr="00BF7955" w:rsidRDefault="008A3D6C" w:rsidP="00BF7955">
            <w:pPr>
              <w:rPr>
                <w:rFonts w:ascii="StobiSerif Regular" w:hAnsi="StobiSerif Regular" w:cs="StobiSerif Regular"/>
                <w:color w:val="000000"/>
                <w:lang w:val="mk-MK"/>
              </w:rPr>
            </w:pPr>
            <w:r>
              <w:rPr>
                <w:rFonts w:ascii="StobiSerif Regular" w:hAnsi="StobiSerif Regular" w:cs="StobiSerif Regular"/>
                <w:sz w:val="22"/>
                <w:szCs w:val="22"/>
                <w:lang w:val="mk-MK"/>
              </w:rPr>
              <w:t>870</w:t>
            </w:r>
          </w:p>
        </w:tc>
        <w:tc>
          <w:tcPr>
            <w:tcW w:w="1134" w:type="dxa"/>
            <w:gridSpan w:val="2"/>
            <w:shd w:val="clear" w:color="auto" w:fill="FFFFFF"/>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1</w:t>
            </w:r>
            <w:r>
              <w:rPr>
                <w:rFonts w:ascii="StobiSerif Regular" w:hAnsi="StobiSerif Regular" w:cs="StobiSerif Regular"/>
                <w:sz w:val="22"/>
                <w:szCs w:val="22"/>
                <w:lang w:val="mk-MK"/>
              </w:rPr>
              <w:t>3.297</w:t>
            </w:r>
          </w:p>
        </w:tc>
        <w:tc>
          <w:tcPr>
            <w:tcW w:w="1093" w:type="dxa"/>
            <w:gridSpan w:val="2"/>
            <w:shd w:val="clear" w:color="auto" w:fill="DAEEF3"/>
            <w:vAlign w:val="bottom"/>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804</w:t>
            </w:r>
          </w:p>
        </w:tc>
      </w:tr>
      <w:tr w:rsidR="008A3D6C" w:rsidRPr="00BF7955">
        <w:trPr>
          <w:trHeight w:val="284"/>
          <w:jc w:val="center"/>
        </w:trPr>
        <w:tc>
          <w:tcPr>
            <w:tcW w:w="567" w:type="dxa"/>
            <w:tcBorders>
              <w:bottom w:val="single" w:sz="12" w:space="0" w:color="0070C0"/>
            </w:tcBorders>
            <w:shd w:val="clear" w:color="auto" w:fill="FFFFFF"/>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9</w:t>
            </w:r>
          </w:p>
        </w:tc>
        <w:tc>
          <w:tcPr>
            <w:tcW w:w="4253" w:type="dxa"/>
            <w:tcBorders>
              <w:bottom w:val="single" w:sz="12" w:space="0" w:color="0070C0"/>
            </w:tcBorders>
            <w:shd w:val="clear" w:color="auto" w:fill="FFFFFF"/>
          </w:tcPr>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Елементарни занимања</w:t>
            </w:r>
          </w:p>
        </w:tc>
        <w:tc>
          <w:tcPr>
            <w:tcW w:w="1701" w:type="dxa"/>
            <w:gridSpan w:val="3"/>
            <w:tcBorders>
              <w:bottom w:val="single" w:sz="12" w:space="0" w:color="0070C0"/>
            </w:tcBorders>
            <w:shd w:val="clear" w:color="auto" w:fill="FFFFFF"/>
            <w:vAlign w:val="bottom"/>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1</w:t>
            </w:r>
            <w:r>
              <w:rPr>
                <w:rFonts w:ascii="StobiSerif Regular" w:hAnsi="StobiSerif Regular" w:cs="StobiSerif Regular"/>
                <w:sz w:val="22"/>
                <w:szCs w:val="22"/>
                <w:lang w:val="mk-MK"/>
              </w:rPr>
              <w:t>1.856</w:t>
            </w:r>
          </w:p>
        </w:tc>
        <w:tc>
          <w:tcPr>
            <w:tcW w:w="1134" w:type="dxa"/>
            <w:gridSpan w:val="2"/>
            <w:tcBorders>
              <w:bottom w:val="single" w:sz="12" w:space="0" w:color="0070C0"/>
            </w:tcBorders>
            <w:shd w:val="clear" w:color="auto" w:fill="DAEEF3"/>
          </w:tcPr>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sz w:val="22"/>
                <w:szCs w:val="22"/>
                <w:lang w:val="mk-MK"/>
              </w:rPr>
              <w:t>1</w:t>
            </w:r>
            <w:r>
              <w:rPr>
                <w:rFonts w:ascii="StobiSerif Regular" w:hAnsi="StobiSerif Regular" w:cs="StobiSerif Regular"/>
                <w:sz w:val="22"/>
                <w:szCs w:val="22"/>
                <w:lang w:val="mk-MK"/>
              </w:rPr>
              <w:t>5.152</w:t>
            </w:r>
          </w:p>
        </w:tc>
        <w:tc>
          <w:tcPr>
            <w:tcW w:w="1093" w:type="dxa"/>
            <w:gridSpan w:val="2"/>
            <w:tcBorders>
              <w:bottom w:val="single" w:sz="12" w:space="0" w:color="0070C0"/>
            </w:tcBorders>
            <w:shd w:val="clear" w:color="auto" w:fill="DAEEF3"/>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1.477</w:t>
            </w:r>
          </w:p>
        </w:tc>
      </w:tr>
    </w:tbl>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i/>
          <w:iCs/>
          <w:sz w:val="22"/>
          <w:szCs w:val="22"/>
          <w:lang w:val="mk-MK"/>
        </w:rPr>
        <w:t>Извор:</w:t>
      </w:r>
      <w:r w:rsidRPr="00BF7955">
        <w:rPr>
          <w:rFonts w:ascii="StobiSerif Regular" w:hAnsi="StobiSerif Regular" w:cs="StobiSerif Regular"/>
          <w:sz w:val="22"/>
          <w:szCs w:val="22"/>
          <w:lang w:val="mk-MK" w:eastAsia="en-GB"/>
        </w:rPr>
        <w:t xml:space="preserve"> Државен завод за статистика, </w:t>
      </w:r>
      <w:r w:rsidRPr="00BF7955">
        <w:rPr>
          <w:rFonts w:ascii="StobiSerif Regular" w:hAnsi="StobiSerif Regular" w:cs="StobiSerif Regular"/>
          <w:i/>
          <w:iCs/>
          <w:sz w:val="22"/>
          <w:szCs w:val="22"/>
          <w:lang w:val="mk-MK" w:eastAsia="en-GB"/>
        </w:rPr>
        <w:t>Анкета за работната сила</w:t>
      </w:r>
      <w:r w:rsidRPr="00BF7955">
        <w:rPr>
          <w:rFonts w:ascii="StobiSerif Regular" w:hAnsi="StobiSerif Regular" w:cs="StobiSerif Regular"/>
          <w:sz w:val="22"/>
          <w:szCs w:val="22"/>
          <w:lang w:val="mk-MK" w:eastAsia="en-GB"/>
        </w:rPr>
        <w:t>, прелиминарни резултати за 2014 г.</w:t>
      </w:r>
      <w:r w:rsidRPr="00BF7955">
        <w:rPr>
          <w:rFonts w:ascii="StobiSerif Regular" w:hAnsi="StobiSerif Regular" w:cs="StobiSerif Regular"/>
          <w:sz w:val="22"/>
          <w:szCs w:val="22"/>
          <w:lang w:val="mk-MK"/>
        </w:rPr>
        <w:t xml:space="preserve"> Засенчените полиња го претставуваат обемот на неусогласеноста. </w:t>
      </w:r>
    </w:p>
    <w:tbl>
      <w:tblPr>
        <w:tblW w:w="0" w:type="auto"/>
        <w:tblInd w:w="-106" w:type="dxa"/>
        <w:tblLook w:val="00A0"/>
      </w:tblPr>
      <w:tblGrid>
        <w:gridCol w:w="3516"/>
        <w:gridCol w:w="5346"/>
      </w:tblGrid>
      <w:tr w:rsidR="008A3D6C" w:rsidRPr="00BF7955">
        <w:tc>
          <w:tcPr>
            <w:tcW w:w="3716" w:type="dxa"/>
          </w:tcPr>
          <w:p w:rsidR="008A3D6C" w:rsidRPr="0020546C" w:rsidRDefault="008A3D6C" w:rsidP="00BF7955">
            <w:pPr>
              <w:rPr>
                <w:rFonts w:ascii="StobiSerif Regular" w:hAnsi="StobiSerif Regular" w:cs="StobiSerif Regular"/>
                <w:lang w:val="mk-MK"/>
              </w:rPr>
            </w:pPr>
          </w:p>
          <w:p w:rsidR="008A3D6C" w:rsidRPr="0020546C" w:rsidRDefault="008A3D6C" w:rsidP="0020546C">
            <w:pPr>
              <w:jc w:val="both"/>
              <w:rPr>
                <w:rFonts w:ascii="StobiSerif Regular" w:hAnsi="StobiSerif Regular" w:cs="StobiSerif Regular"/>
                <w:lang w:val="mk-MK"/>
              </w:rPr>
            </w:pPr>
            <w:r w:rsidRPr="0020546C">
              <w:rPr>
                <w:rFonts w:ascii="StobiSerif Regular" w:hAnsi="StobiSerif Regular" w:cs="StobiSerif Regular"/>
                <w:sz w:val="22"/>
                <w:szCs w:val="22"/>
                <w:lang w:val="mk-MK"/>
              </w:rPr>
              <w:t xml:space="preserve">Уделот на младите лица што не се вклучени во образование или обука останал стабилен во текот на целиот период од 2010 до 2014 година, при што жените со поголема веројатност се надвор од работната сила, образование и обука (NEET) во споредба со младите мажи.  Уделот на младите NEET во Македонија е двапати повисок од стапката во земјите на ЕУ28 (15,3 проценти) поради високиот број невработени млади лица. </w:t>
            </w:r>
          </w:p>
          <w:p w:rsidR="008A3D6C" w:rsidRPr="0020546C" w:rsidRDefault="008A3D6C" w:rsidP="00BF7955">
            <w:pPr>
              <w:rPr>
                <w:rFonts w:ascii="StobiSerif Regular" w:hAnsi="StobiSerif Regular" w:cs="StobiSerif Regular"/>
                <w:lang w:val="mk-MK"/>
              </w:rPr>
            </w:pPr>
          </w:p>
        </w:tc>
        <w:tc>
          <w:tcPr>
            <w:tcW w:w="5146" w:type="dxa"/>
          </w:tcPr>
          <w:p w:rsidR="008A3D6C" w:rsidRPr="0020546C" w:rsidRDefault="008A3D6C" w:rsidP="00BF7955">
            <w:pPr>
              <w:rPr>
                <w:rFonts w:ascii="StobiSerif Regular" w:hAnsi="StobiSerif Regular" w:cs="StobiSerif Regular"/>
                <w:b/>
                <w:bCs/>
                <w:color w:val="0070C0"/>
                <w:lang w:val="mk-MK"/>
              </w:rPr>
            </w:pPr>
          </w:p>
          <w:p w:rsidR="008A3D6C" w:rsidRPr="0020546C" w:rsidRDefault="008A3D6C" w:rsidP="00BF7955">
            <w:pPr>
              <w:rPr>
                <w:rFonts w:ascii="StobiSerif Regular" w:hAnsi="StobiSerif Regular" w:cs="StobiSerif Regular"/>
                <w:b/>
                <w:bCs/>
                <w:color w:val="0070C0"/>
                <w:lang w:val="mk-MK"/>
              </w:rPr>
            </w:pPr>
            <w:r w:rsidRPr="0020546C">
              <w:rPr>
                <w:rFonts w:ascii="StobiSerif Regular" w:hAnsi="StobiSerif Regular" w:cs="StobiSerif Regular"/>
                <w:b/>
                <w:bCs/>
                <w:color w:val="0070C0"/>
                <w:sz w:val="22"/>
                <w:szCs w:val="22"/>
                <w:lang w:val="mk-MK"/>
              </w:rPr>
              <w:t>Слика 7: Млади лица (15-29) надвор од работната сила, образование или обука, според пол (2010-2014 г.)</w:t>
            </w:r>
          </w:p>
          <w:p w:rsidR="008A3D6C" w:rsidRPr="0020546C" w:rsidRDefault="008A3D6C" w:rsidP="00BF7955">
            <w:pPr>
              <w:rPr>
                <w:rFonts w:ascii="StobiSerif Regular" w:hAnsi="StobiSerif Regular" w:cs="StobiSerif Regular"/>
                <w:lang w:val="mk-MK"/>
              </w:rPr>
            </w:pPr>
            <w:bookmarkStart w:id="7" w:name="_MON_1497012625"/>
            <w:bookmarkEnd w:id="7"/>
            <w:r w:rsidRPr="00CF0EA9">
              <w:rPr>
                <w:rFonts w:ascii="StobiSerif Regular" w:hAnsi="StobiSerif Regular" w:cs="StobiSerif Regular"/>
                <w:lang w:val="mk-MK"/>
              </w:rPr>
              <w:pict>
                <v:shape id="_x0000_i1031" type="#_x0000_t75" style="width:256.5pt;height:138.75pt">
                  <v:imagedata r:id="rId16" o:title=""/>
                </v:shape>
              </w:pict>
            </w:r>
          </w:p>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i/>
                <w:iCs/>
                <w:sz w:val="22"/>
                <w:szCs w:val="22"/>
                <w:lang w:val="mk-MK"/>
              </w:rPr>
              <w:t>Извор:</w:t>
            </w:r>
            <w:r w:rsidRPr="0020546C">
              <w:rPr>
                <w:rFonts w:ascii="StobiSerif Regular" w:hAnsi="StobiSerif Regular" w:cs="StobiSerif Regular"/>
                <w:sz w:val="22"/>
                <w:szCs w:val="22"/>
                <w:lang w:val="mk-MK"/>
              </w:rPr>
              <w:t xml:space="preserve"> ЕВРОСТАТ, </w:t>
            </w:r>
            <w:r w:rsidRPr="0020546C">
              <w:rPr>
                <w:rFonts w:ascii="StobiSerif Regular" w:hAnsi="StobiSerif Regular" w:cs="StobiSerif Regular"/>
                <w:i/>
                <w:iCs/>
                <w:sz w:val="22"/>
                <w:szCs w:val="22"/>
                <w:lang w:val="mk-MK"/>
              </w:rPr>
              <w:t>Стапки на NEET според полот</w:t>
            </w:r>
            <w:r w:rsidRPr="0020546C">
              <w:rPr>
                <w:rFonts w:ascii="StobiSerif Regular" w:hAnsi="StobiSerif Regular" w:cs="StobiSerif Regular"/>
                <w:sz w:val="22"/>
                <w:szCs w:val="22"/>
                <w:lang w:val="mk-MK"/>
              </w:rPr>
              <w:t xml:space="preserve"> (2010-2014)  http://ec.europa.eu/eurostat/data/database</w:t>
            </w:r>
          </w:p>
        </w:tc>
      </w:tr>
    </w:tbl>
    <w:p w:rsidR="008A3D6C" w:rsidRPr="00BF7955" w:rsidRDefault="008A3D6C" w:rsidP="00B828A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 xml:space="preserve">Проекциите на Министерството за труд и социјална политика за периодот од 2016 до 2020 година покажуваат дека економскиот раст ќе остане позитивен (со просечно 3 проценти на годишно ниво), при што производството, градежништвото, секторот за недвижности и деловни услуги ќе бележат највисоки стапки на реална додадена вредност. </w:t>
      </w:r>
    </w:p>
    <w:p w:rsidR="008A3D6C" w:rsidRPr="00BF7955" w:rsidRDefault="008A3D6C" w:rsidP="00B828A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Комбинираните ефекти од демографското опаѓање, зголемениот економски раст и продолжените јавни инвестиции ќе имаат позитивно влијание врз пазарот на трудот за младите лица. Стапките на активност и вработеност се очекува да се зголемат на 52 проценти и 30,7 проценти, соодветно, додека, пак, стапката на невработеност ќе го продолжи трендот на опаѓање до 41 процент од учеството на младите лица во работната сила (Слика 8).</w:t>
      </w:r>
    </w:p>
    <w:p w:rsidR="008A3D6C" w:rsidRPr="00BF7955" w:rsidRDefault="008A3D6C" w:rsidP="00B828A8">
      <w:pPr>
        <w:jc w:val="both"/>
        <w:rPr>
          <w:rFonts w:ascii="StobiSerif Regular" w:hAnsi="StobiSerif Regular" w:cs="StobiSerif Regular"/>
          <w:sz w:val="22"/>
          <w:szCs w:val="22"/>
          <w:lang w:val="mk-MK" w:eastAsia="en-GB"/>
        </w:rPr>
      </w:pPr>
    </w:p>
    <w:p w:rsidR="008A3D6C" w:rsidRPr="00BF7955" w:rsidRDefault="008A3D6C" w:rsidP="00BF7955">
      <w:pPr>
        <w:rPr>
          <w:rFonts w:ascii="StobiSerif Regular" w:hAnsi="StobiSerif Regular" w:cs="StobiSerif Regular"/>
          <w:b/>
          <w:bCs/>
          <w:color w:val="0070C0"/>
          <w:sz w:val="22"/>
          <w:szCs w:val="22"/>
          <w:lang w:val="mk-MK" w:eastAsia="en-GB"/>
        </w:rPr>
      </w:pPr>
      <w:r w:rsidRPr="00BF7955">
        <w:rPr>
          <w:rFonts w:ascii="StobiSerif Regular" w:hAnsi="StobiSerif Regular" w:cs="StobiSerif Regular"/>
          <w:b/>
          <w:bCs/>
          <w:color w:val="0070C0"/>
          <w:sz w:val="22"/>
          <w:szCs w:val="22"/>
          <w:lang w:val="mk-MK" w:eastAsia="en-GB"/>
        </w:rPr>
        <w:t>Слика 8. Проектирани стапки на активност, вработеност и невработеност на младите лица (15-29), (2015-2020 г.)</w:t>
      </w:r>
    </w:p>
    <w:p w:rsidR="008A3D6C" w:rsidRPr="00BF7955" w:rsidRDefault="008A3D6C" w:rsidP="00BF7955">
      <w:pPr>
        <w:rPr>
          <w:rFonts w:ascii="StobiSerif Regular" w:hAnsi="StobiSerif Regular" w:cs="StobiSerif Regular"/>
          <w:sz w:val="22"/>
          <w:szCs w:val="22"/>
          <w:lang w:val="mk-MK" w:eastAsia="en-GB"/>
        </w:rPr>
      </w:pPr>
      <w:bookmarkStart w:id="8" w:name="_MON_1497012712"/>
      <w:bookmarkEnd w:id="8"/>
      <w:r w:rsidRPr="00CF0EA9">
        <w:rPr>
          <w:rFonts w:ascii="StobiSerif Regular" w:hAnsi="StobiSerif Regular" w:cs="StobiSerif Regular"/>
          <w:sz w:val="22"/>
          <w:szCs w:val="22"/>
          <w:lang w:val="mk-MK" w:eastAsia="en-GB"/>
        </w:rPr>
        <w:pict>
          <v:shape id="_x0000_i1032" type="#_x0000_t75" style="width:247.5pt;height:135pt">
            <v:imagedata r:id="rId17" o:title=""/>
          </v:shape>
        </w:pic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i/>
          <w:iCs/>
          <w:sz w:val="22"/>
          <w:szCs w:val="22"/>
          <w:lang w:val="mk-MK"/>
        </w:rPr>
        <w:t>Извор:</w:t>
      </w:r>
      <w:r w:rsidRPr="00BF7955">
        <w:rPr>
          <w:rFonts w:ascii="StobiSerif Regular" w:hAnsi="StobiSerif Regular" w:cs="StobiSerif Regular"/>
          <w:sz w:val="22"/>
          <w:szCs w:val="22"/>
          <w:lang w:val="mk-MK" w:eastAsia="en-GB"/>
        </w:rPr>
        <w:t xml:space="preserve"> Министерство за труд и социјална политика, </w:t>
      </w:r>
      <w:r w:rsidRPr="00BF7955">
        <w:rPr>
          <w:rFonts w:ascii="StobiSerif Regular" w:hAnsi="StobiSerif Regular" w:cs="StobiSerif Regular"/>
          <w:i/>
          <w:iCs/>
          <w:sz w:val="22"/>
          <w:szCs w:val="22"/>
          <w:lang w:val="mk-MK" w:eastAsia="en-GB"/>
        </w:rPr>
        <w:t>Проекции за вработеноста</w:t>
      </w:r>
      <w:r w:rsidRPr="00BF7955">
        <w:rPr>
          <w:rFonts w:ascii="StobiSerif Regular" w:hAnsi="StobiSerif Regular" w:cs="StobiSerif Regular"/>
          <w:sz w:val="22"/>
          <w:szCs w:val="22"/>
          <w:lang w:val="mk-MK" w:eastAsia="en-GB"/>
        </w:rPr>
        <w:t>, 2015 г.</w:t>
      </w:r>
    </w:p>
    <w:p w:rsidR="008A3D6C" w:rsidRDefault="008A3D6C">
      <w:pPr>
        <w:rPr>
          <w:rFonts w:ascii="StobiSerif Regular" w:hAnsi="StobiSerif Regular" w:cs="StobiSerif Regular"/>
          <w:sz w:val="22"/>
          <w:szCs w:val="22"/>
          <w:lang w:val="mk-MK"/>
        </w:rPr>
      </w:pPr>
      <w:r>
        <w:rPr>
          <w:rFonts w:ascii="StobiSerif Regular" w:hAnsi="StobiSerif Regular" w:cs="StobiSerif Regular"/>
          <w:sz w:val="22"/>
          <w:szCs w:val="22"/>
          <w:lang w:val="mk-MK"/>
        </w:rPr>
        <w:br w:type="page"/>
      </w:r>
    </w:p>
    <w:p w:rsidR="008A3D6C" w:rsidRPr="00BF7955" w:rsidRDefault="008A3D6C" w:rsidP="00EE1C76">
      <w:pPr>
        <w:rPr>
          <w:rFonts w:ascii="StobiSerif Regular" w:hAnsi="StobiSerif Regular" w:cs="StobiSerif Regular"/>
          <w:sz w:val="22"/>
          <w:szCs w:val="22"/>
          <w:lang w:val="mk-MK"/>
        </w:rPr>
      </w:pPr>
    </w:p>
    <w:p w:rsidR="008A3D6C" w:rsidRDefault="008A3D6C" w:rsidP="00E73238">
      <w:pPr>
        <w:ind w:firstLine="720"/>
        <w:jc w:val="both"/>
        <w:rPr>
          <w:rFonts w:ascii="StobiSerif Regular" w:hAnsi="StobiSerif Regular" w:cs="StobiSerif Regular"/>
          <w:sz w:val="22"/>
          <w:szCs w:val="22"/>
          <w:lang w:val="mk-MK"/>
        </w:rPr>
      </w:pPr>
      <w:r>
        <w:rPr>
          <w:rFonts w:ascii="StobiSerif Regular" w:hAnsi="StobiSerif Regular" w:cs="StobiSerif Regular"/>
          <w:sz w:val="22"/>
          <w:szCs w:val="22"/>
          <w:lang w:val="mk-MK"/>
        </w:rPr>
        <w:t>Во периодот од 2016 до 20</w:t>
      </w:r>
      <w:r w:rsidRPr="00BF7955">
        <w:rPr>
          <w:rFonts w:ascii="StobiSerif Regular" w:hAnsi="StobiSerif Regular" w:cs="StobiSerif Regular"/>
          <w:sz w:val="22"/>
          <w:szCs w:val="22"/>
          <w:lang w:val="mk-MK"/>
        </w:rPr>
        <w:t xml:space="preserve">20 година се очекува </w:t>
      </w:r>
      <w:r>
        <w:rPr>
          <w:rFonts w:ascii="StobiSerif Regular" w:hAnsi="StobiSerif Regular" w:cs="StobiSerif Regular"/>
          <w:sz w:val="22"/>
          <w:szCs w:val="22"/>
          <w:lang w:val="mk-MK"/>
        </w:rPr>
        <w:t xml:space="preserve">дека </w:t>
      </w:r>
      <w:r w:rsidRPr="00BF7955">
        <w:rPr>
          <w:rFonts w:ascii="StobiSerif Regular" w:hAnsi="StobiSerif Regular" w:cs="StobiSerif Regular"/>
          <w:sz w:val="22"/>
          <w:szCs w:val="22"/>
          <w:lang w:val="mk-MK"/>
        </w:rPr>
        <w:t xml:space="preserve">вкупната вработеност ќе забележи раст од 15,3 проценти; побарувачката ќе се зголеми првенствено за висококвалификуваните (21,5 проценти) и за средноквалификуваните работници (15,2 проценти), додека, пак, во случајот на нискоквалификуваните работници зголемувањето ќе изнесува 9,5 проценти. Проекциите за вработеноста покажуваат дека побарувачката ќе биде првенствено поттикната од секторите за недвижности, транспорт, трговија и посредување (Слика 9). </w:t>
      </w:r>
    </w:p>
    <w:p w:rsidR="008A3D6C" w:rsidRPr="00BF7955" w:rsidRDefault="008A3D6C" w:rsidP="00E73238">
      <w:pPr>
        <w:ind w:firstLine="720"/>
        <w:jc w:val="both"/>
        <w:rPr>
          <w:rFonts w:ascii="StobiSerif Regular" w:hAnsi="StobiSerif Regular" w:cs="StobiSerif Regular"/>
          <w:sz w:val="22"/>
          <w:szCs w:val="22"/>
          <w:lang w:val="mk-MK"/>
        </w:rPr>
      </w:pPr>
    </w:p>
    <w:p w:rsidR="008A3D6C" w:rsidRPr="00E73238"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b/>
          <w:bCs/>
          <w:color w:val="0070C0"/>
          <w:sz w:val="22"/>
          <w:szCs w:val="22"/>
          <w:lang w:val="mk-MK" w:eastAsia="en-GB"/>
        </w:rPr>
        <w:t>Слика 9. Проектирана стапка на раст на вработеноста според економскиот сектор (2015-2020 г.)</w:t>
      </w:r>
    </w:p>
    <w:p w:rsidR="008A3D6C" w:rsidRPr="00BF7955" w:rsidRDefault="008A3D6C" w:rsidP="00BF7955">
      <w:pPr>
        <w:rPr>
          <w:rFonts w:ascii="StobiSerif Regular" w:hAnsi="StobiSerif Regular" w:cs="StobiSerif Regular"/>
          <w:sz w:val="22"/>
          <w:szCs w:val="22"/>
          <w:lang w:val="mk-MK"/>
        </w:rPr>
      </w:pPr>
      <w:bookmarkStart w:id="9" w:name="_MON_1497013654"/>
      <w:bookmarkEnd w:id="9"/>
      <w:r w:rsidRPr="00CF0EA9">
        <w:rPr>
          <w:rFonts w:ascii="StobiSerif Regular" w:hAnsi="StobiSerif Regular" w:cs="StobiSerif Regular"/>
          <w:sz w:val="22"/>
          <w:szCs w:val="22"/>
          <w:lang w:val="mk-MK"/>
        </w:rPr>
        <w:pict>
          <v:shape id="_x0000_i1033" type="#_x0000_t75" style="width:438.75pt;height:181.5pt">
            <v:imagedata r:id="rId18" o:title=""/>
          </v:shape>
        </w:pict>
      </w:r>
    </w:p>
    <w:p w:rsidR="008A3D6C" w:rsidRPr="00BF7955" w:rsidRDefault="008A3D6C" w:rsidP="00BF7955">
      <w:pPr>
        <w:rPr>
          <w:rFonts w:ascii="StobiSerif Regular" w:hAnsi="StobiSerif Regular" w:cs="StobiSerif Regular"/>
          <w:sz w:val="22"/>
          <w:szCs w:val="22"/>
          <w:lang w:val="mk-MK" w:eastAsia="en-GB"/>
        </w:rPr>
      </w:pPr>
      <w:r w:rsidRPr="00BF7955">
        <w:rPr>
          <w:rFonts w:ascii="StobiSerif Regular" w:hAnsi="StobiSerif Regular" w:cs="StobiSerif Regular"/>
          <w:i/>
          <w:iCs/>
          <w:sz w:val="22"/>
          <w:szCs w:val="22"/>
          <w:lang w:val="mk-MK"/>
        </w:rPr>
        <w:t>Извор:</w:t>
      </w:r>
      <w:r w:rsidRPr="00BF7955">
        <w:rPr>
          <w:rFonts w:ascii="StobiSerif Regular" w:hAnsi="StobiSerif Regular" w:cs="StobiSerif Regular"/>
          <w:sz w:val="22"/>
          <w:szCs w:val="22"/>
          <w:lang w:val="mk-MK" w:eastAsia="en-GB"/>
        </w:rPr>
        <w:t xml:space="preserve"> Министерство за труд и социјална политика, </w:t>
      </w:r>
      <w:r w:rsidRPr="00BF7955">
        <w:rPr>
          <w:rFonts w:ascii="StobiSerif Regular" w:hAnsi="StobiSerif Regular" w:cs="StobiSerif Regular"/>
          <w:i/>
          <w:iCs/>
          <w:sz w:val="22"/>
          <w:szCs w:val="22"/>
          <w:lang w:val="mk-MK" w:eastAsia="en-GB"/>
        </w:rPr>
        <w:t>Проекции за вработеноста</w:t>
      </w:r>
      <w:r w:rsidRPr="00BF7955">
        <w:rPr>
          <w:rFonts w:ascii="StobiSerif Regular" w:hAnsi="StobiSerif Regular" w:cs="StobiSerif Regular"/>
          <w:sz w:val="22"/>
          <w:szCs w:val="22"/>
          <w:lang w:val="mk-MK" w:eastAsia="en-GB"/>
        </w:rPr>
        <w:t>, 2015 г.</w:t>
      </w:r>
    </w:p>
    <w:p w:rsidR="008A3D6C" w:rsidRPr="00BF7955" w:rsidRDefault="008A3D6C" w:rsidP="00BF7955">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br w:type="page"/>
      </w: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3. Преглед на политиките што имаат влијание врз вработувањето на младите лица </w:t>
      </w:r>
    </w:p>
    <w:p w:rsidR="008A3D6C" w:rsidRPr="00BF7955" w:rsidRDefault="008A3D6C" w:rsidP="00BF7955">
      <w:pPr>
        <w:rPr>
          <w:rFonts w:ascii="StobiSerif Regular" w:eastAsia="Arial Unicode MS" w:hAnsi="StobiSerif Regular"/>
          <w:sz w:val="22"/>
          <w:szCs w:val="22"/>
          <w:lang w:val="mk-MK"/>
        </w:rPr>
      </w:pPr>
    </w:p>
    <w:p w:rsidR="008A3D6C" w:rsidRPr="00BF7955" w:rsidRDefault="008A3D6C" w:rsidP="000E5003">
      <w:pPr>
        <w:ind w:firstLine="720"/>
        <w:jc w:val="both"/>
        <w:rPr>
          <w:rFonts w:ascii="StobiSerif Regular" w:hAnsi="StobiSerif Regular" w:cs="StobiSerif Regular"/>
          <w:sz w:val="22"/>
          <w:szCs w:val="22"/>
          <w:lang w:val="mk-MK"/>
        </w:rPr>
      </w:pPr>
      <w:r w:rsidRPr="00BF7955">
        <w:rPr>
          <w:rFonts w:ascii="StobiSerif Regular" w:hAnsi="StobiSerif Regular" w:cs="StobiSerif Regular"/>
          <w:color w:val="000000"/>
          <w:sz w:val="22"/>
          <w:szCs w:val="22"/>
          <w:lang w:val="mk-MK"/>
        </w:rPr>
        <w:t xml:space="preserve">Првиот </w:t>
      </w:r>
      <w:r w:rsidRPr="00BF7955">
        <w:rPr>
          <w:rFonts w:ascii="StobiSerif Regular" w:hAnsi="StobiSerif Regular" w:cs="StobiSerif Regular"/>
          <w:i/>
          <w:iCs/>
          <w:color w:val="000000"/>
          <w:sz w:val="22"/>
          <w:szCs w:val="22"/>
          <w:lang w:val="mk-MK"/>
        </w:rPr>
        <w:t>Акциски план за вработување млади лица</w:t>
      </w:r>
      <w:r w:rsidRPr="00BF7955">
        <w:rPr>
          <w:rFonts w:ascii="StobiSerif Regular" w:hAnsi="StobiSerif Regular" w:cs="StobiSerif Regular"/>
          <w:color w:val="000000"/>
          <w:sz w:val="22"/>
          <w:szCs w:val="22"/>
          <w:lang w:val="mk-MK"/>
        </w:rPr>
        <w:t>, што се спроведуваше во периодот од 2012 до 2015 година, се фокусираше на оние области на политиките што се сметаа за клучни за вработувањето на младите лица (т.е. економската и фискалната политика, политиките за развој на претприемништвото, образование и пазарот на трудот) и предвидуваше превентивни и куративни пристапи што ги адресираат ограничувањата и на понудата и на побарувачката на работната сила.</w:t>
      </w:r>
      <w:r w:rsidRPr="00BF7955">
        <w:rPr>
          <w:rFonts w:ascii="StobiSerif Regular" w:hAnsi="StobiSerif Regular" w:cs="StobiSerif Regular"/>
          <w:sz w:val="22"/>
          <w:szCs w:val="22"/>
          <w:lang w:val="mk-MK"/>
        </w:rPr>
        <w:t xml:space="preserve"> </w:t>
      </w:r>
      <w:r w:rsidRPr="00BF7955">
        <w:rPr>
          <w:rFonts w:ascii="StobiSerif Regular" w:hAnsi="StobiSerif Regular" w:cs="StobiSerif Regular"/>
          <w:i/>
          <w:iCs/>
          <w:sz w:val="22"/>
          <w:szCs w:val="22"/>
          <w:lang w:val="mk-MK"/>
        </w:rPr>
        <w:t>Акцискиот план</w:t>
      </w:r>
      <w:r w:rsidRPr="00BF7955">
        <w:rPr>
          <w:rFonts w:ascii="StobiSerif Regular" w:hAnsi="StobiSerif Regular" w:cs="StobiSerif Regular"/>
          <w:sz w:val="22"/>
          <w:szCs w:val="22"/>
          <w:lang w:val="mk-MK"/>
        </w:rPr>
        <w:t xml:space="preserve"> имаше утврдено четири стратешки цели и низа клучни исходи што треба да се постигнат за унапредување на целосното, продуктивното и слободно избраното вработување за младите луѓе. Во долу наведените ставови се дава резиме на остварените постигнувања, во согласност со извештаите од активностите за следење и оценување што беа спроведени на крајот на 2013 година и во средината на 2015 година. </w:t>
      </w:r>
    </w:p>
    <w:p w:rsidR="008A3D6C" w:rsidRPr="00BF7955" w:rsidRDefault="008A3D6C" w:rsidP="00E73238">
      <w:pPr>
        <w:jc w:val="both"/>
        <w:rPr>
          <w:rFonts w:ascii="StobiSerif Regular" w:hAnsi="StobiSerif Regular" w:cs="StobiSerif Regular"/>
          <w:sz w:val="22"/>
          <w:szCs w:val="22"/>
          <w:lang w:val="en-US"/>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b/>
          <w:bCs/>
          <w:color w:val="0070C0"/>
          <w:sz w:val="22"/>
          <w:szCs w:val="22"/>
        </w:rPr>
        <w:t>3</w:t>
      </w:r>
      <w:r w:rsidRPr="00BF7955">
        <w:rPr>
          <w:rFonts w:ascii="StobiSerif Regular" w:hAnsi="StobiSerif Regular" w:cs="StobiSerif Regular"/>
          <w:b/>
          <w:bCs/>
          <w:color w:val="0070C0"/>
          <w:sz w:val="22"/>
          <w:szCs w:val="22"/>
          <w:lang w:val="mk-MK"/>
        </w:rPr>
        <w:t>.</w:t>
      </w:r>
      <w:r w:rsidRPr="00BF7955">
        <w:rPr>
          <w:rFonts w:ascii="StobiSerif Regular" w:hAnsi="StobiSerif Regular" w:cs="StobiSerif Regular"/>
          <w:b/>
          <w:bCs/>
          <w:color w:val="0070C0"/>
          <w:sz w:val="22"/>
          <w:szCs w:val="22"/>
        </w:rPr>
        <w:t>1 Зајакнување на системот за управување со пазарот на труд (за младите лица)</w:t>
      </w:r>
      <w:r w:rsidRPr="00BF7955">
        <w:rPr>
          <w:rFonts w:ascii="StobiSerif Regular" w:hAnsi="StobiSerif Regular" w:cs="StobiSerif Regular"/>
          <w:sz w:val="22"/>
          <w:szCs w:val="22"/>
        </w:rPr>
        <w:t xml:space="preserve"> </w:t>
      </w:r>
    </w:p>
    <w:p w:rsidR="008A3D6C" w:rsidRPr="00BF7955" w:rsidRDefault="008A3D6C" w:rsidP="000E5003">
      <w:pPr>
        <w:ind w:firstLine="720"/>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Оваа цел вклучуваше интервенции насочени кон: i) подобрување на капацитетот на Единицата за пазарот на трудот при Министерството за труд и социјална политика (МТСП) за координирање и следење на постигнувањето на целите во врска со вработувањето и политиката за вработување млади лица; ii) интегрирање на реформите на Агенцијата за вработување на Република Македонија (АВРМ) во сите локални канцеларии за вработување, и iii) зајакнување на Инспекторатот за труд, за целите на решавањето на неформалното вработување.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По донесувањето на </w:t>
      </w:r>
      <w:r w:rsidRPr="00BF7955">
        <w:rPr>
          <w:rFonts w:ascii="StobiSerif Regular" w:hAnsi="StobiSerif Regular" w:cs="StobiSerif Regular"/>
          <w:i/>
          <w:iCs/>
          <w:sz w:val="22"/>
          <w:szCs w:val="22"/>
        </w:rPr>
        <w:t>Акцискиот план</w:t>
      </w:r>
      <w:r w:rsidRPr="00BF7955">
        <w:rPr>
          <w:rFonts w:ascii="StobiSerif Regular" w:hAnsi="StobiSerif Regular" w:cs="StobiSerif Regular"/>
          <w:sz w:val="22"/>
          <w:szCs w:val="22"/>
        </w:rPr>
        <w:t>, Единицата за пазарот на трудот континуирано собираше, анализираше и дисеминираше информации за пазарот на трудот што потекнуваат од административни извори и од анкетни истражувања. Беа регрутирани дополнителни човечки ресурси за спроведување на задачите за собирање информации за пазарот на трудот и за изготвување на проекции за вработеноста. Денес редовно се достапни податоци за побарувачката на работната сила по сектори на дејности и по нивото на квалификациите. МТСП во 2014 година нарача ригорозно оценување за мерење на влијанието на повеќе активни програми на пазарот на трудот што се спроведени од страна на АВРМ во периодот од 2008 до 2012 година (грантови за самовработување, практикантство, обука за познат работодавач, субвенционирање на вработувањето, обука за напредни ИТ вештини и обука за дефицитарни занимања). Програмите за кои беше утврдено дека имаат ефект врз веројатноста за вработување на учесниците беа практикантството и обуката за познат работодавач, додека грантовите за самовработување, обуката за дефицитарни занимања и обуката за напредни ИТ вештини не дале значајни резултати.</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Во текот на временската рамка на </w:t>
      </w:r>
      <w:r w:rsidRPr="00BF7955">
        <w:rPr>
          <w:rFonts w:ascii="StobiSerif Regular" w:hAnsi="StobiSerif Regular" w:cs="StobiSerif Regular"/>
          <w:i/>
          <w:iCs/>
          <w:sz w:val="22"/>
          <w:szCs w:val="22"/>
        </w:rPr>
        <w:t>Акцискиот план</w:t>
      </w:r>
      <w:r w:rsidRPr="00BF7955">
        <w:rPr>
          <w:rFonts w:ascii="StobiSerif Regular" w:hAnsi="StobiSerif Regular" w:cs="StobiSerif Regular"/>
          <w:sz w:val="22"/>
          <w:szCs w:val="22"/>
        </w:rPr>
        <w:t xml:space="preserve">, АВРМ речиси двојно го зголеми опфатот на младите (15-29) пријавени невработени лица (од 12,1 проценти во 2012 година на 23,6 проценти во 2014 година). Ова зголемување делумно се должи на дополнителните финансиски ресурси што беа обезбедени преку ЕУ Инструментот за претпристапна помош (ИПА), со оглед на тоа што Македонија вложува само 0,15 проценти од БДП во активните политики на пазарот на трудот (во споредба со 0,66 проценти од БДП во ЕУ). Меѓутоа, во апсолутна смисла, бројот на младите невработени лица што добиле пристап до програмите за вработување забележал четирикратно зголемување во текот на временската рамка на </w:t>
      </w:r>
      <w:r w:rsidRPr="00BF7955">
        <w:rPr>
          <w:rFonts w:ascii="StobiSerif Regular" w:hAnsi="StobiSerif Regular" w:cs="StobiSerif Regular"/>
          <w:i/>
          <w:iCs/>
          <w:sz w:val="22"/>
          <w:szCs w:val="22"/>
        </w:rPr>
        <w:t>Акцискиот план.</w:t>
      </w:r>
      <w:r w:rsidRPr="00BF7955">
        <w:rPr>
          <w:rFonts w:ascii="StobiSerif Regular" w:hAnsi="StobiSerif Regular" w:cs="StobiSerif Regular"/>
          <w:sz w:val="22"/>
          <w:szCs w:val="22"/>
        </w:rPr>
        <w:t xml:space="preserve"> </w:t>
      </w:r>
    </w:p>
    <w:p w:rsidR="008A3D6C" w:rsidRPr="00BF7955" w:rsidRDefault="008A3D6C" w:rsidP="00E73238">
      <w:pPr>
        <w:jc w:val="both"/>
        <w:rPr>
          <w:rStyle w:val="hps"/>
          <w:rFonts w:ascii="StobiSerif Regular" w:hAnsi="StobiSerif Regular" w:cs="StobiSerif Regular"/>
          <w:sz w:val="22"/>
          <w:szCs w:val="22"/>
        </w:rPr>
      </w:pPr>
      <w:r w:rsidRPr="00BF7955">
        <w:rPr>
          <w:rFonts w:ascii="StobiSerif Regular" w:hAnsi="StobiSerif Regular" w:cs="StobiSerif Regular"/>
          <w:sz w:val="22"/>
          <w:szCs w:val="22"/>
        </w:rPr>
        <w:t>Активностите на Инспекторатот за труд, исто така, се зголемиле и до 2014 година инспекциите на трудот опфатиле речиси една половина во вкупната вработеност. Инспекциските надзори биле вршени првенствено во економските сектори што се изложени на ризиците од неформалноста (малопродажба, угостителство и прехранбена индустрија, производство и градежништво). Без оглед на зголемениот број и квалитет на инспекциските надзори, вработувањето во неформалната економија (и особено за младите работници) останува неуморно високо, што укажува на потребата за пошироки интервенции што се наменети за справување со решавачките фактори на неформалноста, како кај претпријатијата, така и кај работниците.</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pStyle w:val="ListParagraph"/>
        <w:jc w:val="both"/>
        <w:rPr>
          <w:rFonts w:ascii="StobiSerif Regular" w:hAnsi="StobiSerif Regular" w:cs="StobiSerif Regular"/>
          <w:sz w:val="22"/>
          <w:szCs w:val="22"/>
          <w:lang w:val="mk-MK"/>
        </w:rPr>
      </w:pPr>
      <w:r w:rsidRPr="00BF7955">
        <w:rPr>
          <w:rFonts w:ascii="StobiSerif Regular" w:hAnsi="StobiSerif Regular" w:cs="StobiSerif Regular"/>
          <w:b/>
          <w:bCs/>
          <w:color w:val="0070C0"/>
          <w:sz w:val="22"/>
          <w:szCs w:val="22"/>
          <w:lang w:val="mk-MK"/>
        </w:rPr>
        <w:t>3.2 Подобрување на можностите за вработување на младите лица</w:t>
      </w:r>
      <w:r w:rsidRPr="00BF7955">
        <w:rPr>
          <w:rFonts w:ascii="StobiSerif Regular" w:hAnsi="StobiSerif Regular" w:cs="StobiSerif Regular"/>
          <w:b/>
          <w:bCs/>
          <w:sz w:val="22"/>
          <w:szCs w:val="22"/>
          <w:lang w:val="mk-MK"/>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Втората стратегиска цел на </w:t>
      </w:r>
      <w:r w:rsidRPr="00BF7955">
        <w:rPr>
          <w:rFonts w:ascii="StobiSerif Regular" w:hAnsi="StobiSerif Regular" w:cs="StobiSerif Regular"/>
          <w:i/>
          <w:iCs/>
          <w:sz w:val="22"/>
          <w:szCs w:val="22"/>
        </w:rPr>
        <w:t xml:space="preserve">Акцискиот план </w:t>
      </w:r>
      <w:r w:rsidRPr="00BF7955">
        <w:rPr>
          <w:rFonts w:ascii="StobiSerif Regular" w:hAnsi="StobiSerif Regular" w:cs="StobiSerif Regular"/>
          <w:sz w:val="22"/>
          <w:szCs w:val="22"/>
        </w:rPr>
        <w:t xml:space="preserve"> беше насочена кон подобрувањето на стапката на вработеност на лицата со завршено средно образование и намалувањето на уделот на лицата што предвремено го напуштаат образованието. Исходите на политиката се фокусираа на: i) усогласување на системот за образование и обука со барањата на пазарот на трудот; ii) воведување на флексибилен систем за обука за надминување на неусогласеноста на вештините со побарувачката на пазарот на трудот за младите баратели на работа; и iii) обезбедување услуги за кариерен развој за младите луѓе во и надвор од образованието.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Бројките за стекнатото образовно ниво (видете Слика 2 во претходното поглавје) укажуваат на општо зголемување на квантитетот на образованието за младите лица и тренд на опаѓање на предвременото напуштање на образованието. Стапката на вработеност на младите лица (15-29) со завршено четиригодишно средно образование и високо образование се зголемува (до 30 и 47,2 проценти, соодветно), но стапката на невработеност на лицата со завршен факултет исто така е во пораст и во 2014 година таа била повисока од стапката за младите лица со завршено средно образование (Слика 6).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До 2014 година, приближно 8,4 проценти од вкупниот број млади лица пријавени како невработени учествувале во програмите за обука што биле организирани до страна на АВРМ. Приносите на овие програми за обука на пазарот на трудот изнесуваат околу 57 проценти, при што највисоката стапка на вработеност е забележана кај младите учесници во субвенционираната обука за познат работодавач (89 проценти), а најниската стапка на вработеност е кај учесниците во обуката за напредни ИТ вештини (17,3 проценти).</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Во текот на временската рамка на </w:t>
      </w:r>
      <w:r w:rsidRPr="00BF7955">
        <w:rPr>
          <w:rFonts w:ascii="StobiSerif Regular" w:hAnsi="StobiSerif Regular" w:cs="StobiSerif Regular"/>
          <w:i/>
          <w:iCs/>
          <w:sz w:val="22"/>
          <w:szCs w:val="22"/>
        </w:rPr>
        <w:t>Акцискиот план</w:t>
      </w:r>
      <w:r w:rsidRPr="00BF7955">
        <w:rPr>
          <w:rFonts w:ascii="StobiSerif Regular" w:hAnsi="StobiSerif Regular" w:cs="StobiSerif Regular"/>
          <w:sz w:val="22"/>
          <w:szCs w:val="22"/>
        </w:rPr>
        <w:t xml:space="preserve">, наставата, советувањето и насочувањето за кариерата се зголемиле значително. До 2014 година, приближно 49 општи средни училишта нуделе настава за кариерно насочување за своите ученици, додека, пак, 36.000 ученици во средните училишта за стручно образование имале пристап до услугите на центрите за кариерен развој. Секоја година приближно 50.000 млади лица што се пријавени во АВРМ имаат пристап до основни информации за пазарот на трудот, додека, пак, бројката на лицата што добиваат индивидуализирана помош при барањето работа се искачила на речиси 9.200 млади лица во 2014 година.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Зацртаната цел за зголемување на стапката на вработеност на младите лица со средно образование била постигната само делумно. Стапката на вработеност на младите лица (15-24) со завршено четиригодишно средно образование се зголемила од 19,7 проценти во 2011 година на 20,5 проценти во 2014 година, а стапката на вработеност за младите возрасни лица (25-29) со истото образовно ниво се зголемила од 49,6 проценти на 52,2 проценти. Најголемиот дел од овие зголемувања, сепак, се должат на опаѓањето на младото население и зголемувањето на стапките на неактивност поради зголеменото запишување на факултет. Општо земено, бројот на младите работници со четиригодишно средно образование останал стабилен на приближно 72.000 млади лица, со зголемување на вработеноста од само 2,6 проценти во периодот.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Спротивно на тоа, бројот на младите лица (15-29) што го напуштаа</w:t>
      </w:r>
      <w:r w:rsidRPr="00BF7955">
        <w:rPr>
          <w:rFonts w:ascii="StobiSerif Regular" w:hAnsi="StobiSerif Regular" w:cs="StobiSerif Regular"/>
          <w:sz w:val="22"/>
          <w:szCs w:val="22"/>
          <w:lang w:val="en-US"/>
        </w:rPr>
        <w:t>т</w:t>
      </w:r>
      <w:r w:rsidRPr="00BF7955">
        <w:rPr>
          <w:rFonts w:ascii="StobiSerif Regular" w:hAnsi="StobiSerif Regular" w:cs="StobiSerif Regular"/>
          <w:sz w:val="22"/>
          <w:szCs w:val="22"/>
        </w:rPr>
        <w:t xml:space="preserve"> системот за средно образование без да стекнат квалификации се намалил за 14 процентни поени, што сигнализира позитивно и мерливо влијание на политиките што ги донела Владата. </w:t>
      </w:r>
    </w:p>
    <w:p w:rsidR="008A3D6C" w:rsidRPr="00BF7955" w:rsidRDefault="008A3D6C" w:rsidP="00E73238">
      <w:pPr>
        <w:pStyle w:val="ListParagraph"/>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3.3 Поттикнување на вработувањето на младите лица преку развој на приватниот сектор</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Оваа цел на Акцискиот план се фокусираше на воведувањето пакет од стимулации за вработување на младите лица и за развој на човечките ресурси во приоритетните економски сектори и на проширувањето на услугите што им се на располагање на младите претприемачи. Се сметаше дека овие исходи на политиките ќе бидат од суштинско значење за зголемувањето на стапките на вработеност на младите лица, како и на уделот на младите лица што работат на пристојни работни места.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Разликата меѓу приоритетните економски сектори што се утврдени во Индустриската политика на Република Македонија (2009-2020) и структурата на вработеноста на младите лица по економски сектори, доведоа до промена на фокусот на политиката во текот на среднорочното оценување на </w:t>
      </w:r>
      <w:r w:rsidRPr="00BF7955">
        <w:rPr>
          <w:rFonts w:ascii="StobiSerif Regular" w:hAnsi="StobiSerif Regular" w:cs="StobiSerif Regular"/>
          <w:i/>
          <w:iCs/>
          <w:sz w:val="22"/>
          <w:szCs w:val="22"/>
        </w:rPr>
        <w:t xml:space="preserve">Акцискиот план </w:t>
      </w:r>
      <w:r w:rsidRPr="00BF7955">
        <w:rPr>
          <w:rFonts w:ascii="StobiSerif Regular" w:hAnsi="StobiSerif Regular" w:cs="StobiSerif Regular"/>
          <w:sz w:val="22"/>
          <w:szCs w:val="22"/>
        </w:rPr>
        <w:t xml:space="preserve">(октомври 2013 година). Беше одлучено дека подобрувањето на конкурентноста на претпријатијата, поголемиот обем на даночни олеснувања за ангажирање млади работници и проширувањето на можностите за доживотно учење ќе се одразат позитивно на вработеноста на младите лица. Ова се оствари само делумно.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Во периодот од 2011 до 2015 година, Македонија ја подобри својата позиција на </w:t>
      </w:r>
      <w:r w:rsidRPr="00BF7955">
        <w:rPr>
          <w:rFonts w:ascii="StobiSerif Regular" w:hAnsi="StobiSerif Regular" w:cs="StobiSerif Regular"/>
          <w:i/>
          <w:iCs/>
          <w:sz w:val="22"/>
          <w:szCs w:val="22"/>
        </w:rPr>
        <w:t xml:space="preserve">Светскиот индекс на конкурентноста </w:t>
      </w:r>
      <w:r w:rsidRPr="00BF7955">
        <w:rPr>
          <w:rFonts w:ascii="StobiSerif Regular" w:hAnsi="StobiSerif Regular" w:cs="StobiSerif Regular"/>
          <w:sz w:val="22"/>
          <w:szCs w:val="22"/>
        </w:rPr>
        <w:t xml:space="preserve">од 79-то на 63-то место. Во сите категории што се сметаат за суштински за конкурентноста на претпријатијата (т.е., пристапот до заеми, достапноста на најновата технологија, потрошувачката на друштвата на истражување и развој и соработката меѓу универзитетите и индустријата) беше забележан значителен пораст, додека, пак, капацитетот за иновации и технолошката апсорпција на ниво на друштва се подобруваат но со побавно темпо.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Уделот на младите работници </w:t>
      </w:r>
      <w:r w:rsidRPr="00BF7955">
        <w:rPr>
          <w:rFonts w:ascii="StobiSerif Regular" w:hAnsi="StobiSerif Regular" w:cs="StobiSerif Regular"/>
          <w:sz w:val="22"/>
          <w:szCs w:val="22"/>
          <w:lang w:eastAsia="en-GB"/>
        </w:rPr>
        <w:t xml:space="preserve">(18-24) што учествуваат во активностите за доживотно учење всушност се намалил во текот на периодот на </w:t>
      </w:r>
      <w:r w:rsidRPr="00BF7955">
        <w:rPr>
          <w:rFonts w:ascii="StobiSerif Regular" w:hAnsi="StobiSerif Regular" w:cs="StobiSerif Regular"/>
          <w:i/>
          <w:iCs/>
          <w:sz w:val="22"/>
          <w:szCs w:val="22"/>
          <w:lang w:eastAsia="en-GB"/>
        </w:rPr>
        <w:t xml:space="preserve">Акцискиот план </w:t>
      </w:r>
      <w:r w:rsidRPr="00BF7955">
        <w:rPr>
          <w:rFonts w:ascii="StobiSerif Regular" w:hAnsi="StobiSerif Regular" w:cs="StobiSerif Regular"/>
          <w:sz w:val="22"/>
          <w:szCs w:val="22"/>
          <w:lang w:eastAsia="en-GB"/>
        </w:rPr>
        <w:t xml:space="preserve">(од 14,1 проценти во 2011 година на 12,5 проценти во 2014 година). </w:t>
      </w:r>
      <w:r w:rsidRPr="00BF7955">
        <w:rPr>
          <w:rFonts w:ascii="StobiSerif Regular" w:hAnsi="StobiSerif Regular" w:cs="StobiSerif Regular"/>
          <w:sz w:val="22"/>
          <w:szCs w:val="22"/>
        </w:rPr>
        <w:t xml:space="preserve">Раководителите, стручњаците, техничарите и сродните занимања биле меѓу оние што со поголема веројатност учествувале во доживотното учење во споредба со работниците во другите занимања. </w:t>
      </w:r>
    </w:p>
    <w:p w:rsidR="008A3D6C" w:rsidRPr="00BF7955" w:rsidRDefault="008A3D6C" w:rsidP="00E73238">
      <w:pPr>
        <w:jc w:val="both"/>
        <w:rPr>
          <w:rFonts w:ascii="StobiSerif Regular" w:hAnsi="StobiSerif Regular" w:cs="StobiSerif Regular"/>
          <w:sz w:val="22"/>
          <w:szCs w:val="22"/>
          <w:lang w:eastAsia="en-GB"/>
        </w:rPr>
      </w:pPr>
      <w:r w:rsidRPr="00BF7955">
        <w:rPr>
          <w:rFonts w:ascii="StobiSerif Regular" w:hAnsi="StobiSerif Regular" w:cs="StobiSerif Regular"/>
          <w:sz w:val="22"/>
          <w:szCs w:val="22"/>
        </w:rPr>
        <w:t xml:space="preserve">Обемот на даночните олеснувања што Владата ги обезбедува за ангажирање млади работници се зголеми трикратно во текот на временската рамка на Акцискиот план. Всушност, на крајот на 2011 година, ослободувањето на работодавачите од нивната обврска за плаќање на придонесот за социјално осигурување (член 98 на </w:t>
      </w:r>
      <w:r w:rsidRPr="00BF7955">
        <w:rPr>
          <w:rFonts w:ascii="StobiSerif Regular" w:hAnsi="StobiSerif Regular" w:cs="StobiSerif Regular"/>
          <w:i/>
          <w:iCs/>
          <w:sz w:val="22"/>
          <w:szCs w:val="22"/>
        </w:rPr>
        <w:t>Законот за вработување и осигурување во случај на невработеност</w:t>
      </w:r>
      <w:r w:rsidRPr="00BF7955">
        <w:rPr>
          <w:rFonts w:ascii="StobiSerif Regular" w:hAnsi="StobiSerif Regular" w:cs="StobiSerif Regular"/>
          <w:sz w:val="22"/>
          <w:szCs w:val="22"/>
        </w:rPr>
        <w:t xml:space="preserve">) беше одобрено на помалку од две илјади млади лица (со инвестиција од МКД </w:t>
      </w:r>
      <w:r w:rsidRPr="00BF7955">
        <w:rPr>
          <w:rFonts w:ascii="StobiSerif Regular" w:hAnsi="StobiSerif Regular" w:cs="StobiSerif Regular"/>
          <w:sz w:val="22"/>
          <w:szCs w:val="22"/>
          <w:lang w:eastAsia="en-GB"/>
        </w:rPr>
        <w:t xml:space="preserve">70,3 милиони), додека, пак, до крајот на 2014 година, беа субвенционирани приближно </w:t>
      </w:r>
      <w:r w:rsidRPr="00BF7955">
        <w:rPr>
          <w:rFonts w:ascii="StobiSerif Regular" w:hAnsi="StobiSerif Regular" w:cs="StobiSerif Regular"/>
          <w:sz w:val="22"/>
          <w:szCs w:val="22"/>
        </w:rPr>
        <w:t xml:space="preserve">5.750 млади нови учесници на пазарот на трудот, со севкупна инвестиција од околу МКД </w:t>
      </w:r>
      <w:r w:rsidRPr="00BF7955">
        <w:rPr>
          <w:rFonts w:ascii="StobiSerif Regular" w:hAnsi="StobiSerif Regular" w:cs="StobiSerif Regular"/>
          <w:sz w:val="22"/>
          <w:szCs w:val="22"/>
          <w:lang w:eastAsia="en-GB"/>
        </w:rPr>
        <w:t>217 милиони.</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lang w:eastAsia="en-GB"/>
        </w:rPr>
        <w:t xml:space="preserve">Асортиманот на услугите за претприемништво за младите лица се прошири значително под закрилата на </w:t>
      </w:r>
      <w:r w:rsidRPr="00BF7955">
        <w:rPr>
          <w:rFonts w:ascii="StobiSerif Regular" w:hAnsi="StobiSerif Regular" w:cs="StobiSerif Regular"/>
          <w:i/>
          <w:iCs/>
          <w:sz w:val="22"/>
          <w:szCs w:val="22"/>
          <w:lang w:eastAsia="en-GB"/>
        </w:rPr>
        <w:t>Акцискиот план</w:t>
      </w:r>
      <w:r w:rsidRPr="00BF7955">
        <w:rPr>
          <w:rFonts w:ascii="StobiSerif Regular" w:hAnsi="StobiSerif Regular" w:cs="StobiSerif Regular"/>
          <w:sz w:val="22"/>
          <w:szCs w:val="22"/>
          <w:lang w:eastAsia="en-GB"/>
        </w:rPr>
        <w:t xml:space="preserve">. До 2014 година, приближно 95.000 ученици од средното образование добиле пристап до настава за претприемништво, а речиси </w:t>
      </w:r>
      <w:r w:rsidRPr="00BF7955">
        <w:rPr>
          <w:rFonts w:ascii="StobiSerif Regular" w:hAnsi="StobiSerif Regular" w:cs="StobiSerif Regular"/>
          <w:sz w:val="22"/>
          <w:szCs w:val="22"/>
        </w:rPr>
        <w:t>1.500 млади луѓе имале пристап до кредитни линии и грантови за самовработување што им биле ставени на располагање од страна на АВРМ.</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Стапката на вработеност на младите лица (15-29)  се зголемила (од 25,5 проценти во 2011 година на 27,1 проценти во 2014 година), но не се зголемила доволно за да се постигне зацртаната цел утврдена во </w:t>
      </w:r>
      <w:r w:rsidRPr="00BF7955">
        <w:rPr>
          <w:rFonts w:ascii="StobiSerif Regular" w:hAnsi="StobiSerif Regular" w:cs="StobiSerif Regular"/>
          <w:i/>
          <w:iCs/>
          <w:sz w:val="22"/>
          <w:szCs w:val="22"/>
        </w:rPr>
        <w:t xml:space="preserve">Акцискиот план </w:t>
      </w:r>
      <w:r w:rsidRPr="00BF7955">
        <w:rPr>
          <w:rFonts w:ascii="StobiSerif Regular" w:hAnsi="StobiSerif Regular" w:cs="StobiSerif Regular"/>
          <w:sz w:val="22"/>
          <w:szCs w:val="22"/>
        </w:rPr>
        <w:t>(29 проценти). Во смисла на квалитетот на работните места, показателите за пазарот на трудот покажуваат дека уделот на младите лица (15-24) на пристојни работни места се зголемувал до 2013 година (на 13,3 проценти) , за потоа нагло да опадне во 2014 година.</w:t>
      </w:r>
      <w:r w:rsidRPr="00BF7955">
        <w:rPr>
          <w:rStyle w:val="FootnoteReference"/>
          <w:rFonts w:ascii="StobiSerif Regular" w:hAnsi="StobiSerif Regular" w:cs="StobiSerif Regular"/>
          <w:sz w:val="22"/>
          <w:szCs w:val="22"/>
        </w:rPr>
        <w:footnoteReference w:id="4"/>
      </w:r>
      <w:r w:rsidRPr="00BF7955">
        <w:rPr>
          <w:rFonts w:ascii="StobiSerif Regular" w:hAnsi="StobiSerif Regular" w:cs="StobiSerif Regular"/>
          <w:sz w:val="22"/>
          <w:szCs w:val="22"/>
        </w:rPr>
        <w:t xml:space="preserve"> Меѓутоа, таквото опаѓање се должи на повисокиот удел на младите лица што го продолжуваат своето образование (зголемување од 4 процентни поени) наместо на влошувањето на условите за работа. Всушност, севкупното зголемување на уделот на младите во пристојната работа изнесувало 17 проценти.</w:t>
      </w:r>
    </w:p>
    <w:p w:rsidR="008A3D6C" w:rsidRPr="00BF7955" w:rsidRDefault="008A3D6C" w:rsidP="00BF7955">
      <w:pPr>
        <w:rPr>
          <w:rFonts w:ascii="StobiSerif Regular" w:hAnsi="StobiSerif Regular" w:cs="StobiSerif Regular"/>
          <w:b/>
          <w:bCs/>
          <w:color w:val="0070C0"/>
          <w:sz w:val="22"/>
          <w:szCs w:val="22"/>
        </w:rPr>
      </w:pPr>
      <w:r w:rsidRPr="00BF7955">
        <w:rPr>
          <w:rFonts w:ascii="StobiSerif Regular" w:hAnsi="StobiSerif Regular" w:cs="StobiSerif Regular"/>
          <w:b/>
          <w:bCs/>
          <w:color w:val="0070C0"/>
          <w:sz w:val="22"/>
          <w:szCs w:val="22"/>
        </w:rPr>
        <w:t>Табела 5: Показатели за преминот од училиште на работа (2011-2014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13"/>
        <w:gridCol w:w="1318"/>
        <w:gridCol w:w="1319"/>
        <w:gridCol w:w="1319"/>
        <w:gridCol w:w="1259"/>
      </w:tblGrid>
      <w:tr w:rsidR="008A3D6C" w:rsidRPr="00BF7955">
        <w:trPr>
          <w:jc w:val="center"/>
        </w:trPr>
        <w:tc>
          <w:tcPr>
            <w:tcW w:w="3313" w:type="dxa"/>
            <w:shd w:val="clear" w:color="auto" w:fill="92CDDC"/>
            <w:vAlign w:val="center"/>
          </w:tcPr>
          <w:p w:rsidR="008A3D6C" w:rsidRPr="0020546C" w:rsidRDefault="008A3D6C" w:rsidP="00E73238">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Фаза на премин</w:t>
            </w:r>
          </w:p>
        </w:tc>
        <w:tc>
          <w:tcPr>
            <w:tcW w:w="1318" w:type="dxa"/>
            <w:shd w:val="clear" w:color="auto" w:fill="92CDDC"/>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2011</w:t>
            </w:r>
          </w:p>
        </w:tc>
        <w:tc>
          <w:tcPr>
            <w:tcW w:w="1319" w:type="dxa"/>
            <w:shd w:val="clear" w:color="auto" w:fill="92CDDC"/>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2012</w:t>
            </w:r>
          </w:p>
        </w:tc>
        <w:tc>
          <w:tcPr>
            <w:tcW w:w="1319" w:type="dxa"/>
            <w:shd w:val="clear" w:color="auto" w:fill="92CDDC"/>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2013</w:t>
            </w:r>
          </w:p>
        </w:tc>
        <w:tc>
          <w:tcPr>
            <w:tcW w:w="1259" w:type="dxa"/>
            <w:shd w:val="clear" w:color="auto" w:fill="92CDDC"/>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2014</w:t>
            </w:r>
          </w:p>
        </w:tc>
      </w:tr>
      <w:tr w:rsidR="008A3D6C" w:rsidRPr="00BF7955">
        <w:trPr>
          <w:jc w:val="center"/>
        </w:trPr>
        <w:tc>
          <w:tcPr>
            <w:tcW w:w="3313"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На училиште</w:t>
            </w:r>
          </w:p>
        </w:tc>
        <w:tc>
          <w:tcPr>
            <w:tcW w:w="1318"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59,0</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57,8</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57,8</w:t>
            </w:r>
          </w:p>
        </w:tc>
        <w:tc>
          <w:tcPr>
            <w:tcW w:w="1259" w:type="dxa"/>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61,4</w:t>
            </w:r>
          </w:p>
        </w:tc>
      </w:tr>
      <w:tr w:rsidR="008A3D6C" w:rsidRPr="00BF7955">
        <w:trPr>
          <w:jc w:val="center"/>
        </w:trPr>
        <w:tc>
          <w:tcPr>
            <w:tcW w:w="3313"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Неактивни</w:t>
            </w:r>
          </w:p>
        </w:tc>
        <w:tc>
          <w:tcPr>
            <w:tcW w:w="1318"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7,8</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6,5</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7,0</w:t>
            </w:r>
          </w:p>
        </w:tc>
        <w:tc>
          <w:tcPr>
            <w:tcW w:w="1259" w:type="dxa"/>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7,3</w:t>
            </w:r>
          </w:p>
        </w:tc>
      </w:tr>
      <w:tr w:rsidR="008A3D6C" w:rsidRPr="00BF7955">
        <w:trPr>
          <w:jc w:val="center"/>
        </w:trPr>
        <w:tc>
          <w:tcPr>
            <w:tcW w:w="3313" w:type="dxa"/>
            <w:shd w:val="clear" w:color="auto" w:fill="DAEEF3"/>
            <w:vAlign w:val="center"/>
          </w:tcPr>
          <w:p w:rsidR="008A3D6C" w:rsidRPr="0020546C" w:rsidRDefault="008A3D6C" w:rsidP="00E73238">
            <w:pPr>
              <w:rPr>
                <w:rFonts w:ascii="StobiSerif Regular" w:hAnsi="StobiSerif Regular" w:cs="StobiSerif Regular"/>
                <w:lang w:val="mk-MK"/>
              </w:rPr>
            </w:pPr>
            <w:r w:rsidRPr="0020546C">
              <w:rPr>
                <w:rFonts w:ascii="StobiSerif Regular" w:hAnsi="StobiSerif Regular" w:cs="StobiSerif Regular"/>
                <w:b/>
                <w:bCs/>
                <w:sz w:val="22"/>
                <w:szCs w:val="22"/>
                <w:lang w:val="mk-MK"/>
              </w:rPr>
              <w:t>Сè уште не e започнат премин</w:t>
            </w:r>
          </w:p>
        </w:tc>
        <w:tc>
          <w:tcPr>
            <w:tcW w:w="1318"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66,8</w:t>
            </w:r>
          </w:p>
        </w:tc>
        <w:tc>
          <w:tcPr>
            <w:tcW w:w="1319"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64,3</w:t>
            </w:r>
          </w:p>
        </w:tc>
        <w:tc>
          <w:tcPr>
            <w:tcW w:w="1319"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64,8</w:t>
            </w:r>
          </w:p>
        </w:tc>
        <w:tc>
          <w:tcPr>
            <w:tcW w:w="1259" w:type="dxa"/>
            <w:shd w:val="clear" w:color="auto" w:fill="DAEEF3"/>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68,7</w:t>
            </w:r>
          </w:p>
        </w:tc>
      </w:tr>
      <w:tr w:rsidR="008A3D6C" w:rsidRPr="00BF7955">
        <w:trPr>
          <w:jc w:val="center"/>
        </w:trPr>
        <w:tc>
          <w:tcPr>
            <w:tcW w:w="3313"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Обесхрабрени работници</w:t>
            </w:r>
          </w:p>
        </w:tc>
        <w:tc>
          <w:tcPr>
            <w:tcW w:w="1318"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1,0</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2,1</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1,6</w:t>
            </w:r>
          </w:p>
        </w:tc>
        <w:tc>
          <w:tcPr>
            <w:tcW w:w="1259" w:type="dxa"/>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0,9</w:t>
            </w:r>
          </w:p>
        </w:tc>
      </w:tr>
      <w:tr w:rsidR="008A3D6C" w:rsidRPr="00BF7955">
        <w:trPr>
          <w:jc w:val="center"/>
        </w:trPr>
        <w:tc>
          <w:tcPr>
            <w:tcW w:w="3313"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Невработени</w:t>
            </w:r>
          </w:p>
        </w:tc>
        <w:tc>
          <w:tcPr>
            <w:tcW w:w="1318"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17,7</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18,0</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17,4</w:t>
            </w:r>
          </w:p>
        </w:tc>
        <w:tc>
          <w:tcPr>
            <w:tcW w:w="1259" w:type="dxa"/>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17,2</w:t>
            </w:r>
          </w:p>
        </w:tc>
      </w:tr>
      <w:tr w:rsidR="008A3D6C" w:rsidRPr="00BF7955">
        <w:trPr>
          <w:jc w:val="center"/>
        </w:trPr>
        <w:tc>
          <w:tcPr>
            <w:tcW w:w="3313"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Недоброволно вработени со скратено работно време</w:t>
            </w:r>
          </w:p>
        </w:tc>
        <w:tc>
          <w:tcPr>
            <w:tcW w:w="1318"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0,6</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0,5</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0,4</w:t>
            </w:r>
          </w:p>
        </w:tc>
        <w:tc>
          <w:tcPr>
            <w:tcW w:w="1259" w:type="dxa"/>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0,9</w:t>
            </w:r>
          </w:p>
        </w:tc>
      </w:tr>
      <w:tr w:rsidR="008A3D6C" w:rsidRPr="00BF7955">
        <w:trPr>
          <w:jc w:val="center"/>
        </w:trPr>
        <w:tc>
          <w:tcPr>
            <w:tcW w:w="3313"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Привремена работа</w:t>
            </w:r>
          </w:p>
        </w:tc>
        <w:tc>
          <w:tcPr>
            <w:tcW w:w="1318"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3,2</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2,2</w:t>
            </w:r>
          </w:p>
        </w:tc>
        <w:tc>
          <w:tcPr>
            <w:tcW w:w="1319" w:type="dxa"/>
            <w:vAlign w:val="center"/>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4,1</w:t>
            </w:r>
          </w:p>
        </w:tc>
        <w:tc>
          <w:tcPr>
            <w:tcW w:w="1259" w:type="dxa"/>
          </w:tcPr>
          <w:p w:rsidR="008A3D6C" w:rsidRPr="0020546C" w:rsidRDefault="008A3D6C" w:rsidP="00BF7955">
            <w:pPr>
              <w:rPr>
                <w:rFonts w:ascii="StobiSerif Regular" w:hAnsi="StobiSerif Regular" w:cs="StobiSerif Regular"/>
                <w:lang w:val="mk-MK"/>
              </w:rPr>
            </w:pPr>
            <w:r w:rsidRPr="0020546C">
              <w:rPr>
                <w:rFonts w:ascii="StobiSerif Regular" w:hAnsi="StobiSerif Regular" w:cs="StobiSerif Regular"/>
                <w:sz w:val="22"/>
                <w:szCs w:val="22"/>
                <w:lang w:val="mk-MK"/>
              </w:rPr>
              <w:t>4,2</w:t>
            </w:r>
          </w:p>
        </w:tc>
      </w:tr>
      <w:tr w:rsidR="008A3D6C" w:rsidRPr="00BF7955">
        <w:trPr>
          <w:jc w:val="center"/>
        </w:trPr>
        <w:tc>
          <w:tcPr>
            <w:tcW w:w="3313" w:type="dxa"/>
            <w:shd w:val="clear" w:color="auto" w:fill="DAEEF3"/>
            <w:vAlign w:val="center"/>
          </w:tcPr>
          <w:p w:rsidR="008A3D6C" w:rsidRPr="0020546C" w:rsidRDefault="008A3D6C" w:rsidP="00E73238">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Во премин</w:t>
            </w:r>
          </w:p>
        </w:tc>
        <w:tc>
          <w:tcPr>
            <w:tcW w:w="1318"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22,5</w:t>
            </w:r>
          </w:p>
        </w:tc>
        <w:tc>
          <w:tcPr>
            <w:tcW w:w="1319"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22,8</w:t>
            </w:r>
          </w:p>
        </w:tc>
        <w:tc>
          <w:tcPr>
            <w:tcW w:w="1319"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21,9</w:t>
            </w:r>
          </w:p>
        </w:tc>
        <w:tc>
          <w:tcPr>
            <w:tcW w:w="1259" w:type="dxa"/>
            <w:shd w:val="clear" w:color="auto" w:fill="DAEEF3"/>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23,3</w:t>
            </w:r>
          </w:p>
        </w:tc>
      </w:tr>
      <w:tr w:rsidR="008A3D6C" w:rsidRPr="00BF7955">
        <w:trPr>
          <w:jc w:val="center"/>
        </w:trPr>
        <w:tc>
          <w:tcPr>
            <w:tcW w:w="3313" w:type="dxa"/>
            <w:shd w:val="clear" w:color="auto" w:fill="DAEEF3"/>
            <w:vAlign w:val="center"/>
          </w:tcPr>
          <w:p w:rsidR="008A3D6C" w:rsidRPr="0020546C" w:rsidRDefault="008A3D6C" w:rsidP="00E73238">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Вработени на пристојни работни места</w:t>
            </w:r>
          </w:p>
        </w:tc>
        <w:tc>
          <w:tcPr>
            <w:tcW w:w="1318"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10,7</w:t>
            </w:r>
          </w:p>
        </w:tc>
        <w:tc>
          <w:tcPr>
            <w:tcW w:w="1319"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12,9</w:t>
            </w:r>
          </w:p>
        </w:tc>
        <w:tc>
          <w:tcPr>
            <w:tcW w:w="1319" w:type="dxa"/>
            <w:shd w:val="clear" w:color="auto" w:fill="DAEEF3"/>
            <w:vAlign w:val="center"/>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13,3</w:t>
            </w:r>
          </w:p>
        </w:tc>
        <w:tc>
          <w:tcPr>
            <w:tcW w:w="1259" w:type="dxa"/>
            <w:shd w:val="clear" w:color="auto" w:fill="DAEEF3"/>
          </w:tcPr>
          <w:p w:rsidR="008A3D6C" w:rsidRPr="0020546C" w:rsidRDefault="008A3D6C" w:rsidP="00BF7955">
            <w:pPr>
              <w:rPr>
                <w:rFonts w:ascii="StobiSerif Regular" w:hAnsi="StobiSerif Regular" w:cs="StobiSerif Regular"/>
                <w:b/>
                <w:bCs/>
                <w:lang w:val="mk-MK"/>
              </w:rPr>
            </w:pPr>
            <w:r w:rsidRPr="0020546C">
              <w:rPr>
                <w:rFonts w:ascii="StobiSerif Regular" w:hAnsi="StobiSerif Regular" w:cs="StobiSerif Regular"/>
                <w:b/>
                <w:bCs/>
                <w:sz w:val="22"/>
                <w:szCs w:val="22"/>
                <w:lang w:val="mk-MK"/>
              </w:rPr>
              <w:t>7,9</w:t>
            </w:r>
          </w:p>
        </w:tc>
      </w:tr>
    </w:tbl>
    <w:p w:rsidR="008A3D6C" w:rsidRPr="00BF7955" w:rsidRDefault="008A3D6C" w:rsidP="00BF7955">
      <w:pPr>
        <w:rPr>
          <w:rFonts w:ascii="StobiSerif Regular" w:hAnsi="StobiSerif Regular" w:cs="StobiSerif Regular"/>
          <w:i/>
          <w:iCs/>
          <w:sz w:val="22"/>
          <w:szCs w:val="22"/>
        </w:rPr>
      </w:pPr>
      <w:r w:rsidRPr="00BF7955">
        <w:rPr>
          <w:rFonts w:ascii="StobiSerif Regular" w:hAnsi="StobiSerif Regular" w:cs="StobiSerif Regular"/>
          <w:i/>
          <w:iCs/>
          <w:sz w:val="22"/>
          <w:szCs w:val="22"/>
        </w:rPr>
        <w:t xml:space="preserve">Извор: </w:t>
      </w:r>
      <w:r w:rsidRPr="00BF7955">
        <w:rPr>
          <w:rFonts w:ascii="StobiSerif Regular" w:hAnsi="StobiSerif Regular" w:cs="StobiSerif Regular"/>
          <w:sz w:val="22"/>
          <w:szCs w:val="22"/>
        </w:rPr>
        <w:t>ЕВРОСТАТ, годишна Анкета за работната сила, 2011-2014</w:t>
      </w:r>
    </w:p>
    <w:p w:rsidR="008A3D6C" w:rsidRPr="00BF7955" w:rsidRDefault="008A3D6C" w:rsidP="00BF7955">
      <w:pPr>
        <w:pStyle w:val="ListParagraph"/>
        <w:rPr>
          <w:rFonts w:ascii="StobiSerif Regular" w:hAnsi="StobiSerif Regular" w:cs="StobiSerif Regular"/>
          <w:b/>
          <w:bCs/>
          <w:color w:val="0070C0"/>
          <w:sz w:val="22"/>
          <w:szCs w:val="22"/>
          <w:lang w:val="mk-MK"/>
        </w:rPr>
      </w:pPr>
    </w:p>
    <w:p w:rsidR="008A3D6C" w:rsidRPr="00BF7955" w:rsidRDefault="008A3D6C" w:rsidP="00BF7955">
      <w:pPr>
        <w:pStyle w:val="ListParagraph"/>
        <w:rPr>
          <w:rFonts w:ascii="StobiSerif Regular" w:hAnsi="StobiSerif Regular" w:cs="StobiSerif Regular"/>
          <w:b/>
          <w:bCs/>
          <w:color w:val="0070C0"/>
          <w:sz w:val="22"/>
          <w:szCs w:val="22"/>
          <w:lang w:val="mk-MK"/>
        </w:rPr>
      </w:pPr>
    </w:p>
    <w:p w:rsidR="008A3D6C" w:rsidRPr="00BF7955" w:rsidRDefault="008A3D6C" w:rsidP="00BF7955">
      <w:pPr>
        <w:pStyle w:val="ListParagrap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3.4 Осигурување вклучување на младите лица во неповолна положба на пазарот на трудот</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Унапредувањето на социјалното вклучување на младите лица во неповолна положба е утврдено преку три исходи на политиката: 1) приспособување на пристапите за утврдување на целните групи што ги користи АВРМ за опфаќање на младите лица под ризик од отуѓување од пазарот на трудот; 2) воведување програми за префрлање на младите неформални претприемачи во формалната економија, и 3) интегрирање на службите за вработување и социјалните служби за подобро адресирање на повеќекратните потреби на младите под ризик од исклученост. </w:t>
      </w:r>
    </w:p>
    <w:p w:rsidR="008A3D6C" w:rsidRPr="00BF7955" w:rsidRDefault="008A3D6C" w:rsidP="00E73238">
      <w:pPr>
        <w:jc w:val="both"/>
        <w:rPr>
          <w:rStyle w:val="hps"/>
          <w:rFonts w:ascii="StobiSerif Regular" w:hAnsi="StobiSerif Regular" w:cs="StobiSerif Regular"/>
          <w:sz w:val="22"/>
          <w:szCs w:val="22"/>
          <w:lang w:eastAsia="en-GB"/>
        </w:rPr>
      </w:pPr>
      <w:r w:rsidRPr="00BF7955">
        <w:rPr>
          <w:rFonts w:ascii="StobiSerif Regular" w:hAnsi="StobiSerif Regular" w:cs="StobiSerif Regular"/>
          <w:sz w:val="22"/>
          <w:szCs w:val="22"/>
        </w:rPr>
        <w:t xml:space="preserve">Приспособувањето на пристапите на АВРМ кон утврдувањето на целните групи резултирало со зголемен опфат на нискоквалификуваните млади лица што учествуваат во активните програми на пазарот на трудот (од </w:t>
      </w:r>
      <w:r w:rsidRPr="00BF7955">
        <w:rPr>
          <w:rStyle w:val="hps"/>
          <w:rFonts w:ascii="StobiSerif Regular" w:hAnsi="StobiSerif Regular" w:cs="StobiSerif Regular"/>
          <w:sz w:val="22"/>
          <w:szCs w:val="22"/>
          <w:lang w:eastAsia="en-GB"/>
        </w:rPr>
        <w:t>11 проценти во 2011 година на 13,6 проценти во 2014) година) и во инвестирање приближно 30 проценти од расположливите средства за активните политики на пазарот на трудот за оваа група.</w:t>
      </w:r>
      <w:r w:rsidRPr="00BF7955">
        <w:rPr>
          <w:rFonts w:ascii="StobiSerif Regular" w:hAnsi="StobiSerif Regular" w:cs="StobiSerif Regular"/>
          <w:sz w:val="22"/>
          <w:szCs w:val="22"/>
        </w:rPr>
        <w:t xml:space="preserve"> Овие позитивни резултати биле постигнати и благодарејќи на дополнителните финансиски ресурси што биле на располагање во рамките на Инструментот за претпристапна помош на ЕУ. </w:t>
      </w:r>
      <w:r w:rsidRPr="00BF7955">
        <w:rPr>
          <w:rFonts w:ascii="StobiSerif Regular" w:hAnsi="StobiSerif Regular" w:cs="StobiSerif Regular"/>
          <w:sz w:val="22"/>
          <w:szCs w:val="22"/>
          <w:lang w:eastAsia="en-GB"/>
        </w:rPr>
        <w:t>Дополнително, пристапот со профилирање што тековно се воведува ќе овозможи насочување на ресурсите кон лицата што се соочуваат со повеќекратни пречки на пазарот на трудот.</w:t>
      </w:r>
      <w:r w:rsidRPr="00BF7955">
        <w:rPr>
          <w:rFonts w:ascii="StobiSerif Regular" w:hAnsi="StobiSerif Regular" w:cs="StobiSerif Regular"/>
          <w:sz w:val="22"/>
          <w:szCs w:val="22"/>
        </w:rPr>
        <w:t xml:space="preserve"> Системот за профилирање треба да биде придружен од нова верзија на Индивидуалниот план за вработување што ќе овозможи непосреден пристап до услуги и програми со повисок интензитет за лицата што се под најголем ризик.</w:t>
      </w:r>
    </w:p>
    <w:p w:rsidR="008A3D6C" w:rsidRPr="00BF7955" w:rsidRDefault="008A3D6C" w:rsidP="00E73238">
      <w:pPr>
        <w:pStyle w:val="Paragrafoelenco1"/>
        <w:jc w:val="both"/>
        <w:rPr>
          <w:rFonts w:ascii="StobiSerif Regular" w:hAnsi="StobiSerif Regular" w:cs="StobiSerif Regular"/>
          <w:lang w:val="mk-MK" w:eastAsia="en-GB"/>
        </w:rPr>
      </w:pPr>
      <w:r w:rsidRPr="00BF7955">
        <w:rPr>
          <w:rFonts w:ascii="StobiSerif Regular" w:hAnsi="StobiSerif Regular" w:cs="StobiSerif Regular"/>
          <w:lang w:val="mk-MK"/>
        </w:rPr>
        <w:t>Програмата што е наменета да им  помогне на младите (15-29) неформални претприемачи да се префрлат во формалната економија се зголемила значително: до 2014 година повеќе од 380 друштва на млади претприемачи добиле финансиска поддршка за регистрирање на својата дејност и формализирање на своите работници (во споредба со 37 друштва што биле таргетирани во 2011 година).</w:t>
      </w:r>
      <w:r w:rsidRPr="00BF7955">
        <w:rPr>
          <w:rFonts w:ascii="StobiSerif Regular" w:hAnsi="StobiSerif Regular" w:cs="StobiSerif Regular"/>
          <w:lang w:val="mk-MK" w:eastAsia="en-GB"/>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lang w:eastAsia="en-GB"/>
        </w:rPr>
        <w:t>Исходот на политиката за интегрирање на службите за вработување и социјалните служби не бил постигнат поради низа ограничувања во спроведувањето:</w:t>
      </w:r>
      <w:r w:rsidRPr="00BF7955">
        <w:rPr>
          <w:rFonts w:ascii="StobiSerif Regular" w:hAnsi="StobiSerif Regular" w:cs="StobiSerif Regular"/>
          <w:sz w:val="22"/>
          <w:szCs w:val="22"/>
        </w:rPr>
        <w:t xml:space="preserve"> во 2014 година само 57 млади лица (на возраст од 15 до 29 години) биле вклучени во мерките за премин од социјална помош кон работа. </w:t>
      </w:r>
    </w:p>
    <w:p w:rsidR="008A3D6C" w:rsidRPr="00BF7955" w:rsidRDefault="008A3D6C" w:rsidP="00E73238">
      <w:pPr>
        <w:pStyle w:val="ListParagraph"/>
        <w:jc w:val="both"/>
        <w:rPr>
          <w:rFonts w:ascii="StobiSerif Regular" w:hAnsi="StobiSerif Regular" w:cs="StobiSerif Regular"/>
          <w:b/>
          <w:bCs/>
          <w:color w:val="0070C0"/>
          <w:sz w:val="22"/>
          <w:szCs w:val="22"/>
          <w:lang w:val="mk-MK"/>
        </w:rPr>
      </w:pPr>
    </w:p>
    <w:p w:rsidR="008A3D6C" w:rsidRPr="00BF7955" w:rsidRDefault="008A3D6C" w:rsidP="00E73238">
      <w:pPr>
        <w:pStyle w:val="ListParagraph"/>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3.5 Национален акциски план за вработување млади лица: Резиме на постигнувања</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Најголемиот дел од исходите на политиката што биле утврдени во рамките на </w:t>
      </w:r>
      <w:r w:rsidRPr="00BF7955">
        <w:rPr>
          <w:rFonts w:ascii="StobiSerif Regular" w:hAnsi="StobiSerif Regular" w:cs="StobiSerif Regular"/>
          <w:i/>
          <w:iCs/>
          <w:sz w:val="22"/>
          <w:szCs w:val="22"/>
        </w:rPr>
        <w:t>Акцискиот план за вработување млади лица</w:t>
      </w:r>
      <w:r w:rsidRPr="00BF7955">
        <w:rPr>
          <w:rFonts w:ascii="StobiSerif Regular" w:hAnsi="StobiSerif Regular" w:cs="StobiSerif Regular"/>
          <w:sz w:val="22"/>
          <w:szCs w:val="22"/>
        </w:rPr>
        <w:t xml:space="preserve"> биле спроведени во согласност со планираното, а неколку од зацртаните цели биле надминати (видете Рамка 1).</w:t>
      </w:r>
    </w:p>
    <w:p w:rsidR="008A3D6C" w:rsidRPr="00BF7955" w:rsidRDefault="008A3D6C" w:rsidP="00E73238">
      <w:pPr>
        <w:jc w:val="both"/>
        <w:rPr>
          <w:rFonts w:ascii="StobiSerif Regular" w:hAnsi="StobiSerif Regular" w:cs="StobiSerif Regular"/>
          <w:sz w:val="22"/>
          <w:szCs w:val="22"/>
        </w:rPr>
      </w:pPr>
    </w:p>
    <w:tbl>
      <w:tblPr>
        <w:tblW w:w="0" w:type="auto"/>
        <w:tblInd w:w="-106" w:type="dxa"/>
        <w:tblLook w:val="00A0"/>
      </w:tblPr>
      <w:tblGrid>
        <w:gridCol w:w="7654"/>
      </w:tblGrid>
      <w:tr w:rsidR="008A3D6C" w:rsidRPr="00BF7955">
        <w:tc>
          <w:tcPr>
            <w:tcW w:w="7654" w:type="dxa"/>
            <w:shd w:val="clear" w:color="auto" w:fill="DAEEF3"/>
          </w:tcPr>
          <w:p w:rsidR="008A3D6C" w:rsidRPr="0020546C" w:rsidRDefault="008A3D6C" w:rsidP="0020546C">
            <w:pPr>
              <w:jc w:val="both"/>
              <w:rPr>
                <w:rFonts w:ascii="StobiSerif Regular" w:hAnsi="StobiSerif Regular" w:cs="StobiSerif Regular"/>
                <w:b/>
                <w:bCs/>
                <w:color w:val="0070C0"/>
                <w:lang w:val="mk-MK"/>
              </w:rPr>
            </w:pPr>
          </w:p>
          <w:p w:rsidR="008A3D6C" w:rsidRPr="0020546C" w:rsidRDefault="008A3D6C" w:rsidP="0020546C">
            <w:pPr>
              <w:jc w:val="both"/>
              <w:rPr>
                <w:rFonts w:ascii="StobiSerif Regular" w:hAnsi="StobiSerif Regular" w:cs="StobiSerif Regular"/>
                <w:b/>
                <w:bCs/>
                <w:color w:val="0070C0"/>
                <w:lang w:val="mk-MK"/>
              </w:rPr>
            </w:pPr>
            <w:r w:rsidRPr="0020546C">
              <w:rPr>
                <w:rFonts w:ascii="StobiSerif Regular" w:hAnsi="StobiSerif Regular" w:cs="StobiSerif Regular"/>
                <w:b/>
                <w:bCs/>
                <w:color w:val="0070C0"/>
                <w:sz w:val="22"/>
                <w:szCs w:val="22"/>
                <w:lang w:val="mk-MK"/>
              </w:rPr>
              <w:t>Рамка 1: Главни постигнувања на Акцискиот план за вработување млади лица до 2015 г.</w:t>
            </w:r>
          </w:p>
          <w:p w:rsidR="008A3D6C" w:rsidRPr="0020546C" w:rsidRDefault="008A3D6C" w:rsidP="0020546C">
            <w:pPr>
              <w:jc w:val="both"/>
              <w:rPr>
                <w:rFonts w:ascii="StobiSerif Regular" w:hAnsi="StobiSerif Regular" w:cs="StobiSerif Regular"/>
                <w:b/>
                <w:bCs/>
                <w:color w:val="0070C0"/>
                <w:lang w:val="mk-MK"/>
              </w:rPr>
            </w:pP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Уделот на младите лица што биле третирани со услуги и програми за вработување се зголемил четирикратно во споредба со 2011 година;</w:t>
            </w: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Уделот на работниците што биле опфатени со инспекции на трудот е речиси половина од вкупниот број вработени;</w:t>
            </w: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 xml:space="preserve">Приходите од придонесите за социјално осигурување се зголемувале просечно за 6 проценти годишно; </w:t>
            </w: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Бројот на младите лица (15-24) што предвремено го напуштаат образованието се намалил за 15,3 проценти;</w:t>
            </w: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 xml:space="preserve">Речиси 57 проценти од младите невработени лица што посетувале некоја од програмите за обука што се нудат од страна на АВРМ биле вработени една година по завршувањето на програмата; </w:t>
            </w: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Повеќе од 15.700 ученици добиле услуги за кариерно образование во временската рамка на Акцискиот план, додека, пак, на приближно 50.000 млади лица им биле обезбедени информации за пазарот на трудот преку услугите на АВРМ;</w:t>
            </w: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Обемот на стимулациите што ги обезбедува Владата за ангажирање на млади луѓе се зголемил трикратно во споредба со 2011 година, со севкупна инвестиција од МКД 217 милиони во 2014 година;</w:t>
            </w:r>
          </w:p>
          <w:p w:rsidR="008A3D6C" w:rsidRPr="0020546C" w:rsidRDefault="008A3D6C" w:rsidP="0020546C">
            <w:pPr>
              <w:pStyle w:val="ListParagraph"/>
              <w:jc w:val="both"/>
              <w:rPr>
                <w:rFonts w:ascii="StobiSerif Regular" w:hAnsi="StobiSerif Regular" w:cs="StobiSerif Regular"/>
                <w:lang w:val="mk-MK"/>
              </w:rPr>
            </w:pPr>
            <w:r w:rsidRPr="0020546C">
              <w:rPr>
                <w:rFonts w:ascii="StobiSerif Regular" w:hAnsi="StobiSerif Regular" w:cs="StobiSerif Regular"/>
                <w:sz w:val="22"/>
                <w:szCs w:val="22"/>
                <w:lang w:val="mk-MK"/>
              </w:rPr>
              <w:t>Во периодот од 2011 до 2014 година, речиси 2.500 млади лица добиле пристап до заеми и грантови за самовработување што биле ставени на располагање од страна на АВРМ.</w:t>
            </w:r>
          </w:p>
          <w:p w:rsidR="008A3D6C" w:rsidRPr="0020546C" w:rsidRDefault="008A3D6C" w:rsidP="0020546C">
            <w:pPr>
              <w:jc w:val="both"/>
              <w:rPr>
                <w:rFonts w:ascii="StobiSerif Regular" w:hAnsi="StobiSerif Regular" w:cs="StobiSerif Regular"/>
                <w:lang w:val="mk-MK"/>
              </w:rPr>
            </w:pPr>
          </w:p>
          <w:p w:rsidR="008A3D6C" w:rsidRPr="0020546C" w:rsidRDefault="008A3D6C" w:rsidP="0020546C">
            <w:pPr>
              <w:jc w:val="both"/>
              <w:rPr>
                <w:rFonts w:ascii="StobiSerif Regular" w:hAnsi="StobiSerif Regular" w:cs="StobiSerif Regular"/>
                <w:lang w:val="mk-MK"/>
              </w:rPr>
            </w:pPr>
            <w:r w:rsidRPr="0020546C">
              <w:rPr>
                <w:rFonts w:ascii="StobiSerif Regular" w:hAnsi="StobiSerif Regular" w:cs="StobiSerif Regular"/>
                <w:i/>
                <w:iCs/>
                <w:sz w:val="22"/>
                <w:szCs w:val="22"/>
                <w:lang w:val="mk-MK"/>
              </w:rPr>
              <w:t>Извор:</w:t>
            </w:r>
            <w:r w:rsidRPr="0020546C">
              <w:rPr>
                <w:rFonts w:ascii="StobiSerif Regular" w:hAnsi="StobiSerif Regular" w:cs="StobiSerif Regular"/>
                <w:sz w:val="22"/>
                <w:szCs w:val="22"/>
                <w:lang w:val="mk-MK"/>
              </w:rPr>
              <w:t xml:space="preserve"> Министерство за труд и социјална политика, </w:t>
            </w:r>
            <w:r w:rsidRPr="0020546C">
              <w:rPr>
                <w:rFonts w:ascii="StobiSerif Regular" w:hAnsi="StobiSerif Regular" w:cs="StobiSerif Regular"/>
                <w:i/>
                <w:iCs/>
                <w:sz w:val="22"/>
                <w:szCs w:val="22"/>
                <w:lang w:val="mk-MK"/>
              </w:rPr>
              <w:t>Акциски план за вработување млади лица: Преглед на постигнувањата, мај 2015 г.</w:t>
            </w:r>
          </w:p>
          <w:p w:rsidR="008A3D6C" w:rsidRPr="0020546C" w:rsidRDefault="008A3D6C" w:rsidP="0020546C">
            <w:pPr>
              <w:jc w:val="both"/>
              <w:rPr>
                <w:rFonts w:ascii="StobiSerif Regular" w:hAnsi="StobiSerif Regular" w:cs="StobiSerif Regular"/>
                <w:lang w:val="mk-MK"/>
              </w:rPr>
            </w:pPr>
          </w:p>
        </w:tc>
      </w:tr>
    </w:tbl>
    <w:p w:rsidR="008A3D6C" w:rsidRPr="00BF7955" w:rsidRDefault="008A3D6C" w:rsidP="00E73238">
      <w:pPr>
        <w:jc w:val="both"/>
        <w:rPr>
          <w:rFonts w:ascii="StobiSerif Regular" w:hAnsi="StobiSerif Regular" w:cs="StobiSerif Regular"/>
          <w:i/>
          <w:iCs/>
          <w:sz w:val="22"/>
          <w:szCs w:val="22"/>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Исходите на политиката што првично беа наменети за подобрување на побарувачката на работната сила мораше да се ревидираат и намалат. Конкурентноста на претпријатијата се подобрувала но со забавено темпо; отворањето работни места (особено за младите лица на возраст од 15 до 24 години) останало млитаво и сè поголем број млади луѓе се запишувале на факултет надевајќи се дека така ќе ги подобрат своите изгледи за вработување. Меѓутоа, локалните претпријатија тековно не се способни да ги апсорбираат висококвалификуваните човечки ресурси и да создадат повеќе продуктивни работни места, на тој начин присилувајќи голем број висококвалификувани млади лица да ја напуштат земјата.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Општата состојба на младите лица на пазарот на трудот се подобрува, иако со забавено темпо: вработеноста се зголемува а невработеноста опаѓа. Подобрувањето на општиот квантитет на вработеноста на младите лица, меѓутоа, сè уште не е преточено во повисок квалитет: голем број млади луѓе остануваат заглавени на работни места за кои се преквалификувани или, пак, се ангажирани на ниско продуктивни и несигурни работни места, неретко во неформалната економија.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Прашањата во врска со вработувањето на младите лица што остануваат отворени се поврзани со квалитетот на образовните исходи и неусогласеноста на вештините со побарувачката на пазарот на трудот; достапноста на програмите за втора можност и можностите за доживотно учење; модернизацијата на инфраструктурата на АВРМ за проширување на обезбедувањето на програми и услуги; подобрувањето на инвестициската клима за поттикнување на отворањето работни места (со посебен фокус на малите претпријатија); и подобра кохерентност на стимулациите што им се достапни на претпријатијата за зголемување на продуктивноста и конкурентноста.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ДЕЛ II – ПРИОРИТЕТНИ ПОЛИТИКИ</w:t>
      </w:r>
    </w:p>
    <w:p w:rsidR="008A3D6C" w:rsidRPr="00BF7955" w:rsidRDefault="008A3D6C" w:rsidP="00E73238">
      <w:pPr>
        <w:jc w:val="both"/>
        <w:rPr>
          <w:rFonts w:ascii="StobiSerif Regular" w:hAnsi="StobiSerif Regular" w:cs="StobiSerif Regular"/>
          <w:b/>
          <w:bCs/>
          <w:color w:val="0070C0"/>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1. Утврдување на проблемите </w:t>
      </w:r>
    </w:p>
    <w:p w:rsidR="008A3D6C" w:rsidRPr="00BF7955" w:rsidRDefault="008A3D6C" w:rsidP="00E7323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rPr>
        <w:t xml:space="preserve">Во годините по донесувањето на првиот </w:t>
      </w:r>
      <w:r w:rsidRPr="00BF7955">
        <w:rPr>
          <w:rFonts w:ascii="StobiSerif Regular" w:hAnsi="StobiSerif Regular" w:cs="StobiSerif Regular"/>
          <w:i/>
          <w:iCs/>
          <w:sz w:val="22"/>
          <w:szCs w:val="22"/>
          <w:lang w:val="mk-MK"/>
        </w:rPr>
        <w:t>Акциски план за вработување на младите лица</w:t>
      </w:r>
      <w:r w:rsidRPr="00BF7955">
        <w:rPr>
          <w:rFonts w:ascii="StobiSerif Regular" w:hAnsi="StobiSerif Regular" w:cs="StobiSerif Regular"/>
          <w:sz w:val="22"/>
          <w:szCs w:val="22"/>
          <w:lang w:val="mk-MK"/>
        </w:rPr>
        <w:t xml:space="preserve"> беше постигнат определен напредок во однос на економската состојба и состојбата на пазарот на трудот во Македонија. Без оглед на пречките во 2012 година, економскиот раст остана позитивен, иако со пониска просечна стапка во споредба со периодот пред светската економска и финансиска криза. Трендовите на пазарот на трудот во однос на работоспособното население исто така се свртеа во позитивна насока, со растечки стапки на активност, подобрени стапки на учество на вработените во вкупното население и опаѓачки стапки на невработеност. Подобрувањата на состојбата на младите лица (15-29) на пазарот на трудот беше позадушена.  Во периодот од четири години по донесувањето на </w:t>
      </w:r>
      <w:r w:rsidRPr="00BF7955">
        <w:rPr>
          <w:rFonts w:ascii="StobiSerif Regular" w:hAnsi="StobiSerif Regular" w:cs="StobiSerif Regular"/>
          <w:i/>
          <w:iCs/>
          <w:sz w:val="22"/>
          <w:szCs w:val="22"/>
          <w:lang w:val="mk-MK"/>
        </w:rPr>
        <w:t>Акцискиот план</w:t>
      </w:r>
      <w:r w:rsidRPr="00BF7955">
        <w:rPr>
          <w:rFonts w:ascii="StobiSerif Regular" w:hAnsi="StobiSerif Regular" w:cs="StobiSerif Regular"/>
          <w:sz w:val="22"/>
          <w:szCs w:val="22"/>
          <w:lang w:val="mk-MK"/>
        </w:rPr>
        <w:t>, учеството на младите лица во работната сила и стапките на нивната вработеност се зголемија (за 1,2 и 1,6 процентни поени, соодветно) а стапката на невработеност се намали (за 1,9 процентни поени). Сепак, вработувањето на младите лица останува неодложен предизвик, со оглед на ниската вработеност (27,1 проценти) и високите стапки на невработеност (45,1 проценти). Податоците за пазарот на трудот за младите лица покажуваат дека вработеноста на младите не расте соодветно на растот на Бруто домашниот производ (БДП), што укажува на постоењето на структурни наместо циклични проблеми (т.е., ограничувања на понудата и побарувачката).</w:t>
      </w:r>
      <w:r w:rsidRPr="00BF7955">
        <w:rPr>
          <w:rFonts w:ascii="StobiSerif Regular" w:hAnsi="StobiSerif Regular" w:cs="StobiSerif Regular"/>
          <w:sz w:val="22"/>
          <w:szCs w:val="22"/>
          <w:lang w:val="mk-MK" w:eastAsia="en-GB"/>
        </w:rPr>
        <w:t xml:space="preserve"> Конкретно:</w:t>
      </w:r>
    </w:p>
    <w:p w:rsidR="008A3D6C" w:rsidRPr="00BF7955" w:rsidRDefault="008A3D6C" w:rsidP="00E73238">
      <w:pPr>
        <w:pStyle w:val="ListParagraph"/>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Образованието и обуката носат повисоки примања на пазарот на трудот и имаат позитивно влијание врз времетраењето на преминот од училиште на работа, но значат и заштита против невработеноста или преквалификуваноста. Повисоките образовни постигнувања се во позитивна корелација со исходите на пазарот на трудот, со оглед на тоа што лицата што имаат само основно образование со поголема веројатност ќе бидат невработени во споредба со младите работници што имаат средно или високо образование. Фактот што стапката на невработеност на младите лица со завршено високо образование е повисока од таа на младите лица со средно образование е одраз на неусогласеноста меѓу исходите од високото образование и барањата на економскиот систем што се карактеризира со микро (често во семејна сопственост) и мали претпријатија што не се способни да ги апсорбираат сè поголемите групи млади висококвалификувани лица.  Поседувањето на диплома за завршено високо образование носи повисоки примања и го скратува потребниот период за добивање на првата работа. Меѓутоа, таквите приноси се ослабени од релативно високите стапки на преквалификуваност и зачестеноста на вработувањето во економските сектори што се изложени на висока стапка на обрт на работната сила, аранжмани за привремена работа и пониски нивоа на платите (елементарни занимања и работни места на службеници и работници во услужни дејности и продажба). </w:t>
      </w:r>
    </w:p>
    <w:p w:rsidR="008A3D6C" w:rsidRPr="00BF7955" w:rsidRDefault="008A3D6C" w:rsidP="00E73238">
      <w:pPr>
        <w:pStyle w:val="Paragrafoelenco1"/>
        <w:jc w:val="both"/>
        <w:rPr>
          <w:rFonts w:ascii="StobiSerif Regular" w:hAnsi="StobiSerif Regular" w:cs="StobiSerif Regular"/>
          <w:lang w:val="mk-MK" w:eastAsia="it-IT"/>
        </w:rPr>
      </w:pPr>
      <w:r w:rsidRPr="00BF7955">
        <w:rPr>
          <w:rFonts w:ascii="StobiSerif Regular" w:hAnsi="StobiSerif Regular" w:cs="StobiSerif Regular"/>
          <w:lang w:val="mk-MK" w:eastAsia="en-GB"/>
        </w:rPr>
        <w:t>Миграциските одливи, загубата на квалификуваната работна сила, задоцнетите структурни трансформации и сè уште ограничените приливи на странски директни инвестиции (СДИ) ја забавија економската трансформација што е потреба за зголемување на вработеноста.</w:t>
      </w:r>
      <w:r w:rsidRPr="00BF7955">
        <w:rPr>
          <w:rFonts w:ascii="StobiSerif Regular" w:hAnsi="StobiSerif Regular" w:cs="StobiSerif Regular"/>
          <w:lang w:val="mk-MK" w:eastAsia="it-IT"/>
        </w:rPr>
        <w:t xml:space="preserve"> Најголемиот број друштва се микро претпријатија (со помалку од 10 работници): ова влијае врз нивните капацитети за иновации и за апсорбирање на новите технологии. Достапноста на финансиските услуги, пристапот до заеми и капацитетот за иновирање остануваат најпроблематичните области што треба да се решат во однос на развојот на приватниот сектор. Покрај тоа, претпријатијата сè почесто пријавуваат проблеми со работната сила (лоша работна етика и несоодветно образование).</w:t>
      </w:r>
      <w:r w:rsidRPr="00BF7955">
        <w:rPr>
          <w:rFonts w:ascii="StobiSerif Regular" w:hAnsi="StobiSerif Regular" w:cs="StobiSerif Regular"/>
          <w:lang w:val="mk-MK"/>
        </w:rPr>
        <w:t xml:space="preserve"> Во економските и социјалните политики што се спроведуваа досега не се посветуваше големо внимание на надминувањето на ограничувањата со кои што се соочуваа претпријатијата при отворањето повеќе работни места и при развојот на својот капитал од работна сила. Ограничената финансиска и нефинансиска поддршка, високите трошоци за обука, заедно со недоволно развиената кредитна политика, сè уште го уназадуваат потенцијалот за вработување во голем број друштва од приватниот сектор. </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 xml:space="preserve">Вработувањето во неформалната економија и понатаму е сеприсутно, со поголема зачестеност кај младите лица, нискоквалификуваните работници и во определени економски сектори, како што се земјоделството, градежништвото и угостителството. </w:t>
      </w:r>
      <w:r w:rsidRPr="00BF7955">
        <w:rPr>
          <w:rFonts w:ascii="StobiSerif Regular" w:hAnsi="StobiSerif Regular" w:cs="StobiSerif Regular"/>
          <w:lang w:val="mk-MK" w:eastAsia="en-GB"/>
        </w:rPr>
        <w:t>Во 2014 година, една третина од вкупниот број вработени млади лица биле во неформалната економија.</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 xml:space="preserve">Без оглед на ефективноста на услугите за вработување што ги обезбедувала АВРМ за да им помогне на невработените да се вратат на работа, вложувањата на Владата во активните политики на пазарот на трудот остануваат далеку под просекот на ЕУ </w:t>
      </w:r>
      <w:r w:rsidRPr="00BF7955">
        <w:rPr>
          <w:rFonts w:ascii="StobiSerif Regular" w:hAnsi="StobiSerif Regular" w:cs="StobiSerif Regular"/>
          <w:lang w:val="mk-MK" w:eastAsia="en-GB"/>
        </w:rPr>
        <w:t>(</w:t>
      </w:r>
      <w:r w:rsidRPr="00BF7955">
        <w:rPr>
          <w:rFonts w:ascii="StobiSerif Regular" w:hAnsi="StobiSerif Regular" w:cs="StobiSerif Regular"/>
          <w:lang w:val="mk-MK"/>
        </w:rPr>
        <w:t xml:space="preserve">0,15 проценти и 0,6 проценти од БДП, соодветно). Понатаму, Македонија станува сè позависна од надворешното финансирање за зголемување на опфатот на пријавените невработени лица. Функциите на АВРМ се ограничени од недостигот на човечки ресурси, слабо развиената физичка и ИКТ инфраструктура </w:t>
      </w:r>
      <w:r w:rsidRPr="00BF7955">
        <w:rPr>
          <w:rFonts w:ascii="StobiSerif Regular" w:hAnsi="StobiSerif Regular" w:cs="StobiSerif Regular"/>
          <w:lang w:val="mk-MK" w:eastAsia="en-GB"/>
        </w:rPr>
        <w:t xml:space="preserve">– особено во помалите центри за вработување – што доведува до нерамномерно обезбедување на услугите во целата земја. </w:t>
      </w:r>
      <w:r w:rsidRPr="00BF7955">
        <w:rPr>
          <w:rFonts w:ascii="StobiSerif Regular" w:hAnsi="StobiSerif Regular" w:cs="StobiSerif Regular"/>
          <w:lang w:val="mk-MK"/>
        </w:rPr>
        <w:t>Многу малку се прави во насока на активно рекламирање на услугата кај работодавачите и поставувањето на работно место, во споредба со останатите услуги, беше прилично занемарено во последните неколку години.</w:t>
      </w:r>
      <w:r w:rsidRPr="00BF7955">
        <w:rPr>
          <w:rFonts w:ascii="StobiSerif Regular" w:hAnsi="StobiSerif Regular" w:cs="StobiSerif Regular"/>
          <w:lang w:val="mk-MK" w:eastAsia="en-GB"/>
        </w:rPr>
        <w:t xml:space="preserve"> Функцијата за поставување на работно место ќе се унапреди и со подобро управување со известувањата за слободни работни места наведени во банката за работни места на АВРМ (редовно чистење на базата на податоци, проверка на точниот број достапни работни места, означување на работните места за обнова на привремени договори итн.).</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 xml:space="preserve">Економските политики што беа носени досега беа ефективни во создавањето на поволна средина за економски развој и – во определена мера – беа успешни во промовирањето на пораст на вработеноста. Стратегиите за развој на претпријатијата што се спроведуваа во насока на подобрување на законската рамка и пристапот до финансиски и нефинансиски услуги имаа позитивно влијание врз деловната клима. Меѓутоа, претпријатијата сè уште се соочуваат со голем број ограничувања на продуктивноста, како внатрешни (т.е. капацитети за управување, технологија и иновации; инвестиции и база на вештини на работната сила) така и надворешни (т.е. ефективни државни институции и политики и функционален кредитен систем). Дополнително, иницијативите за развој на претпријатијата би имале придобивки од подобрената кохерентност и координација.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Стратегиите за надминување на неформалната економија се фокусираа на намалувањето на административното и даночното оптоварување за претпријатијата и зголемувањето на износот на паричните казни за непочитување на законот, при што не се посветуваше многу внимание на решавачките фактори за неформалноста како за претпријатијата, така и за работниците. Како последица на тоа, овие стратегии во голема мера беа неефективни во намалувањето на уделот на неформалното вработување, особено кај младите луѓе.</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Можностите за доживотно учење и можностите на лицата што предвремено го напуштаат образованието без да стекнат квалификации за враќање во системот за образование и обука сè уште се ограничени. Врската меѓу системот за стручно образование и обука (СОО) и индустријата и натаму останува слаба; младите често влегуваат на пазарот на трудот со слаби основни вештини за вработување и стручни квалификации; недостигот на ефективен систем за информации за пазарот на трудот и советување за кариерниот развој за студентите го усложнуваат нивниот премин на работа. Рамката 2 долу дава резиме на основните утврдени проблеми.</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br w:type="page"/>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Рамка 2: Основни решавачки фактори за вработувањето на младите лица</w:t>
      </w:r>
    </w:p>
    <w:p w:rsidR="008A3D6C" w:rsidRPr="00BF7955" w:rsidRDefault="008A3D6C" w:rsidP="00E73238">
      <w:pPr>
        <w:jc w:val="both"/>
        <w:rPr>
          <w:rFonts w:ascii="StobiSerif Regular" w:hAnsi="StobiSerif Regular" w:cs="StobiSerif Regular"/>
          <w:b/>
          <w:bCs/>
          <w:sz w:val="22"/>
          <w:szCs w:val="22"/>
          <w:lang w:val="mk-MK"/>
        </w:rPr>
      </w:pPr>
    </w:p>
    <w:tbl>
      <w:tblPr>
        <w:tblW w:w="8613" w:type="dxa"/>
        <w:tblInd w:w="-106" w:type="dxa"/>
        <w:tblLook w:val="01E0"/>
      </w:tblPr>
      <w:tblGrid>
        <w:gridCol w:w="2539"/>
        <w:gridCol w:w="6074"/>
      </w:tblGrid>
      <w:tr w:rsidR="008A3D6C" w:rsidRPr="00BF7955">
        <w:tc>
          <w:tcPr>
            <w:tcW w:w="2539" w:type="dxa"/>
          </w:tcPr>
          <w:p w:rsidR="008A3D6C" w:rsidRPr="00BF7955" w:rsidRDefault="008A3D6C" w:rsidP="00E73238">
            <w:pPr>
              <w:jc w:val="both"/>
              <w:rPr>
                <w:rFonts w:ascii="StobiSerif Regular" w:hAnsi="StobiSerif Regular" w:cs="StobiSerif Regular"/>
                <w:b/>
                <w:bCs/>
                <w:lang w:val="mk-MK"/>
              </w:rPr>
            </w:pPr>
            <w:r w:rsidRPr="00BF7955">
              <w:rPr>
                <w:rFonts w:ascii="StobiSerif Regular" w:hAnsi="StobiSerif Regular" w:cs="StobiSerif Regular"/>
                <w:b/>
                <w:bCs/>
                <w:sz w:val="22"/>
                <w:szCs w:val="22"/>
                <w:lang w:val="mk-MK"/>
              </w:rPr>
              <w:t xml:space="preserve">Макроекономска рамка </w:t>
            </w:r>
          </w:p>
        </w:tc>
        <w:tc>
          <w:tcPr>
            <w:tcW w:w="6074" w:type="dxa"/>
          </w:tcPr>
          <w:p w:rsidR="008A3D6C" w:rsidRPr="00BF7955" w:rsidRDefault="008A3D6C" w:rsidP="00E73238">
            <w:pPr>
              <w:jc w:val="both"/>
              <w:rPr>
                <w:rFonts w:ascii="StobiSerif Regular" w:hAnsi="StobiSerif Regular" w:cs="StobiSerif Regular"/>
                <w:b/>
                <w:bCs/>
                <w:lang w:val="mk-MK"/>
              </w:rPr>
            </w:pPr>
            <w:r w:rsidRPr="00BF7955">
              <w:rPr>
                <w:rFonts w:ascii="StobiSerif Regular" w:hAnsi="StobiSerif Regular" w:cs="StobiSerif Regular"/>
                <w:sz w:val="22"/>
                <w:szCs w:val="22"/>
                <w:lang w:val="mk-MK"/>
              </w:rPr>
              <w:t>Мала флексибилност на вработеноста на младите лица во однос на растот на БДП; нивото на инвестициите (домашни и странски) сè уште не е доволно за поттикнување на раст што е придружен од зголемување на вработеноста; нискиот капацитет на формалната економија за отворање работни места; ниското ниво на квалификациите на работната сила што влијае врз привлекувањето на странските директни инвестиции; капиталните инвестиции како мултипликатор на работните места функционираат добро за возрасните, но не и за младите лица.</w:t>
            </w:r>
          </w:p>
          <w:p w:rsidR="008A3D6C" w:rsidRPr="00BF7955" w:rsidRDefault="008A3D6C" w:rsidP="00E73238">
            <w:pPr>
              <w:jc w:val="both"/>
              <w:rPr>
                <w:rFonts w:ascii="StobiSerif Regular" w:hAnsi="StobiSerif Regular" w:cs="StobiSerif Regular"/>
                <w:b/>
                <w:bCs/>
                <w:lang w:val="mk-MK"/>
              </w:rPr>
            </w:pPr>
          </w:p>
        </w:tc>
      </w:tr>
      <w:tr w:rsidR="008A3D6C" w:rsidRPr="00BF7955">
        <w:tc>
          <w:tcPr>
            <w:tcW w:w="2539" w:type="dxa"/>
          </w:tcPr>
          <w:p w:rsidR="008A3D6C" w:rsidRPr="00BF7955" w:rsidRDefault="008A3D6C" w:rsidP="00E73238">
            <w:pPr>
              <w:jc w:val="both"/>
              <w:rPr>
                <w:rFonts w:ascii="StobiSerif Regular" w:hAnsi="StobiSerif Regular" w:cs="StobiSerif Regular"/>
                <w:b/>
                <w:bCs/>
                <w:lang w:val="mk-MK"/>
              </w:rPr>
            </w:pPr>
            <w:r w:rsidRPr="00BF7955">
              <w:rPr>
                <w:rFonts w:ascii="StobiSerif Regular" w:hAnsi="StobiSerif Regular" w:cs="StobiSerif Regular"/>
                <w:b/>
                <w:bCs/>
                <w:sz w:val="22"/>
                <w:szCs w:val="22"/>
                <w:lang w:val="mk-MK"/>
              </w:rPr>
              <w:t>Образование и обука</w:t>
            </w:r>
          </w:p>
        </w:tc>
        <w:tc>
          <w:tcPr>
            <w:tcW w:w="6074" w:type="dxa"/>
          </w:tcPr>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Недоволен квалитет на образовните исходи; нерелевантноста на образовните исходи во однос на потребите на пазарот на трудот; сè уште ограничени врски со индустријата и светот на работата; наставата за кариерното насочување сè уште не е интегрирана во наставните програми на средните училишта.</w:t>
            </w:r>
          </w:p>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Ниско ниво (квантитативно и квалитативно) на обезбедувањето образование за возрасни, не постои систем врз основа на компетенциите што е поврзан со светот на работата; малку можности за доживотно учење за лицата што ja пропуштиле можноста да се образуваат. </w:t>
            </w:r>
          </w:p>
          <w:p w:rsidR="008A3D6C" w:rsidRPr="00BF7955" w:rsidRDefault="008A3D6C" w:rsidP="00E73238">
            <w:pPr>
              <w:jc w:val="both"/>
              <w:rPr>
                <w:rFonts w:ascii="StobiSerif Regular" w:hAnsi="StobiSerif Regular" w:cs="StobiSerif Regular"/>
                <w:b/>
                <w:bCs/>
                <w:lang w:val="mk-MK"/>
              </w:rPr>
            </w:pPr>
            <w:r w:rsidRPr="00BF7955">
              <w:rPr>
                <w:rFonts w:ascii="StobiSerif Regular" w:hAnsi="StobiSerif Regular" w:cs="StobiSerif Regular"/>
                <w:sz w:val="22"/>
                <w:szCs w:val="22"/>
                <w:lang w:val="mk-MK"/>
              </w:rPr>
              <w:t>Системот за квалификации и сертифицирање, како и признавањето на претходното образование сè уште се во фаза на развој.</w:t>
            </w:r>
          </w:p>
          <w:p w:rsidR="008A3D6C" w:rsidRPr="00BF7955" w:rsidRDefault="008A3D6C" w:rsidP="00E73238">
            <w:pPr>
              <w:jc w:val="both"/>
              <w:rPr>
                <w:rFonts w:ascii="StobiSerif Regular" w:hAnsi="StobiSerif Regular" w:cs="StobiSerif Regular"/>
                <w:b/>
                <w:bCs/>
                <w:lang w:val="mk-MK"/>
              </w:rPr>
            </w:pPr>
          </w:p>
        </w:tc>
      </w:tr>
      <w:tr w:rsidR="008A3D6C" w:rsidRPr="00BF7955">
        <w:tc>
          <w:tcPr>
            <w:tcW w:w="2539" w:type="dxa"/>
          </w:tcPr>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b/>
                <w:bCs/>
                <w:sz w:val="22"/>
                <w:szCs w:val="22"/>
                <w:lang w:val="mk-MK"/>
              </w:rPr>
              <w:t>Развој на претпријатијата</w:t>
            </w:r>
          </w:p>
        </w:tc>
        <w:tc>
          <w:tcPr>
            <w:tcW w:w="6074" w:type="dxa"/>
          </w:tcPr>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 xml:space="preserve">Слаб капацитет на претпријатијата за отворање работни места во формалната економија, внатрешни и надворешни ограничувања на продуктивноста. </w:t>
            </w:r>
          </w:p>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Сè уште ограничен пристап до кредити, оскудно вложување во развојот на човечките ресурси; и ограничен пристап до услуги за развој на деловното работење, особено за малите претпријатија; слаба институционална координација, со голем број тековни програми што често имаат ограничени ресурси и непознато влијание.</w:t>
            </w:r>
          </w:p>
          <w:p w:rsidR="008A3D6C" w:rsidRPr="00BF7955" w:rsidRDefault="008A3D6C" w:rsidP="00E73238">
            <w:pPr>
              <w:jc w:val="both"/>
              <w:rPr>
                <w:rFonts w:ascii="StobiSerif Regular" w:hAnsi="StobiSerif Regular" w:cs="StobiSerif Regular"/>
                <w:b/>
                <w:bCs/>
                <w:lang w:val="mk-MK"/>
              </w:rPr>
            </w:pPr>
          </w:p>
        </w:tc>
      </w:tr>
      <w:tr w:rsidR="008A3D6C" w:rsidRPr="00BF7955">
        <w:tc>
          <w:tcPr>
            <w:tcW w:w="2539" w:type="dxa"/>
          </w:tcPr>
          <w:p w:rsidR="008A3D6C" w:rsidRPr="00BF7955" w:rsidRDefault="008A3D6C" w:rsidP="00E73238">
            <w:pPr>
              <w:jc w:val="both"/>
              <w:rPr>
                <w:rFonts w:ascii="StobiSerif Regular" w:hAnsi="StobiSerif Regular" w:cs="StobiSerif Regular"/>
                <w:b/>
                <w:bCs/>
                <w:lang w:val="mk-MK"/>
              </w:rPr>
            </w:pPr>
            <w:r w:rsidRPr="00BF7955">
              <w:rPr>
                <w:rFonts w:ascii="StobiSerif Regular" w:hAnsi="StobiSerif Regular" w:cs="StobiSerif Regular"/>
                <w:b/>
                <w:bCs/>
                <w:sz w:val="22"/>
                <w:szCs w:val="22"/>
                <w:lang w:val="mk-MK"/>
              </w:rPr>
              <w:t xml:space="preserve">Пазар на трудот </w:t>
            </w:r>
          </w:p>
          <w:p w:rsidR="008A3D6C" w:rsidRPr="00BF7955" w:rsidRDefault="008A3D6C" w:rsidP="00E73238">
            <w:pPr>
              <w:jc w:val="both"/>
              <w:rPr>
                <w:rFonts w:ascii="StobiSerif Regular" w:hAnsi="StobiSerif Regular" w:cs="StobiSerif Regular"/>
                <w:lang w:val="mk-MK"/>
              </w:rPr>
            </w:pPr>
          </w:p>
        </w:tc>
        <w:tc>
          <w:tcPr>
            <w:tcW w:w="6074" w:type="dxa"/>
          </w:tcPr>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Ниска стапка на учество на жените и младите луѓе на пазарот на трудот, бавно зголемување на стапките на вработеност на младите лица и висок процент на долгорочна невработеност кај младите лица;</w:t>
            </w:r>
          </w:p>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Високи стапки на привремено, повремено и сезонско вработување на младите лица во споредба со возрасните; повисока зачестеност на неформалноста кај младите работници; </w:t>
            </w:r>
          </w:p>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Несоодветни државни инвестиции во услугите и програмите за вработување, без оглед на добрите резултати; сè поголема зависност од надворешното финансирање за зголемување на опфатот; </w:t>
            </w:r>
          </w:p>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eastAsia="en-GB"/>
              </w:rPr>
              <w:t xml:space="preserve">Недостиг на човечки ресурси, слабо развиената физичка и ИКТ инфраструктура, што доведува до нерамномерно обезбедување на услугите во целата земја. </w:t>
            </w:r>
          </w:p>
          <w:p w:rsidR="008A3D6C" w:rsidRPr="00BF7955" w:rsidRDefault="008A3D6C" w:rsidP="00E73238">
            <w:pPr>
              <w:jc w:val="both"/>
              <w:rPr>
                <w:rFonts w:ascii="StobiSerif Regular" w:hAnsi="StobiSerif Regular" w:cs="StobiSerif Regular"/>
                <w:lang w:val="mk-MK"/>
              </w:rPr>
            </w:pPr>
            <w:r w:rsidRPr="00BF7955">
              <w:rPr>
                <w:rFonts w:ascii="StobiSerif Regular" w:hAnsi="StobiSerif Regular" w:cs="StobiSerif Regular"/>
                <w:sz w:val="22"/>
                <w:szCs w:val="22"/>
                <w:lang w:val="mk-MK" w:eastAsia="en-GB"/>
              </w:rPr>
              <w:t>Услугите за работодавачите сè уште не се доволно развиени; посредувањето за вработување сè уште се врши врз основа на барања од работодавачите; лошо управување со базата на податоци за слободни работни места; недостиг на наменски линии на услуги за младите невработени лица.</w:t>
            </w:r>
          </w:p>
        </w:tc>
      </w:tr>
    </w:tbl>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br w:type="page"/>
      </w: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2. Приоритети на политиката</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Водечкото сценарио за утврдување на опциите во политиката за вработување млади лица за периодот до 2020 година е утврдено од: 1) </w:t>
      </w:r>
      <w:r w:rsidRPr="00BF7955">
        <w:rPr>
          <w:rFonts w:ascii="StobiSerif Regular" w:hAnsi="StobiSerif Regular" w:cs="StobiSerif Regular"/>
          <w:i/>
          <w:iCs/>
          <w:sz w:val="22"/>
          <w:szCs w:val="22"/>
          <w:lang w:val="mk-MK"/>
        </w:rPr>
        <w:t xml:space="preserve">Фискална стратегија на Република Македонија </w:t>
      </w:r>
      <w:r w:rsidRPr="00BF7955">
        <w:rPr>
          <w:rFonts w:ascii="StobiSerif Regular" w:hAnsi="StobiSerif Regular" w:cs="StobiSerif Regular"/>
          <w:sz w:val="22"/>
          <w:szCs w:val="22"/>
          <w:lang w:val="mk-MK"/>
        </w:rPr>
        <w:t xml:space="preserve">за периодот 2015-2017 г.; 2) </w:t>
      </w:r>
      <w:r w:rsidRPr="00BF7955">
        <w:rPr>
          <w:rFonts w:ascii="StobiSerif Regular" w:hAnsi="StobiSerif Regular" w:cs="StobiSerif Regular"/>
          <w:i/>
          <w:iCs/>
          <w:sz w:val="22"/>
          <w:szCs w:val="22"/>
          <w:lang w:val="mk-MK"/>
        </w:rPr>
        <w:t xml:space="preserve">Националната програма за реформи 2015 г.; </w:t>
      </w:r>
      <w:r w:rsidRPr="00BF7955">
        <w:rPr>
          <w:rFonts w:ascii="StobiSerif Regular" w:hAnsi="StobiSerif Regular" w:cs="StobiSerif Regular"/>
          <w:sz w:val="22"/>
          <w:szCs w:val="22"/>
          <w:lang w:val="mk-MK"/>
        </w:rPr>
        <w:t xml:space="preserve">3) приоритетите што се утврдени во </w:t>
      </w:r>
      <w:r w:rsidRPr="00BF7955">
        <w:rPr>
          <w:rFonts w:ascii="StobiSerif Regular" w:hAnsi="StobiSerif Regular" w:cs="StobiSerif Regular"/>
          <w:i/>
          <w:iCs/>
          <w:sz w:val="22"/>
          <w:szCs w:val="22"/>
          <w:lang w:val="mk-MK"/>
        </w:rPr>
        <w:t xml:space="preserve">Националната стратегија за вработување 2020 г. </w:t>
      </w:r>
      <w:r w:rsidRPr="00BF7955">
        <w:rPr>
          <w:rFonts w:ascii="StobiSerif Regular" w:hAnsi="StobiSerif Regular" w:cs="StobiSerif Regular"/>
          <w:sz w:val="22"/>
          <w:szCs w:val="22"/>
          <w:lang w:val="mk-MK"/>
        </w:rPr>
        <w:t xml:space="preserve">и 4) проекциите за вработеноста објавени од страна на Министерството за труд и социјална политика за периодот до 2020 година. </w:t>
      </w:r>
    </w:p>
    <w:p w:rsidR="008A3D6C" w:rsidRPr="00BF7955" w:rsidRDefault="008A3D6C" w:rsidP="00E7323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rPr>
        <w:t>Макроекономските и фискалните политики што ќе се спроведуваат краткорочно од страна на Владата на Република Македонија ќе се фокусираат на унапредувањето на одржливиот економски раст, зголемувањето на конкурентноста на стопанството и поддршка на отворањето работни места и подобриот животен стандард.</w:t>
      </w:r>
      <w:r w:rsidRPr="00BF7955">
        <w:rPr>
          <w:rFonts w:ascii="StobiSerif Regular" w:hAnsi="StobiSerif Regular" w:cs="StobiSerif Regular"/>
          <w:sz w:val="22"/>
          <w:szCs w:val="22"/>
          <w:lang w:val="mk-MK" w:eastAsia="en-GB"/>
        </w:rPr>
        <w:t xml:space="preserve"> Во периодот 2015-2017 г., се предвидува дека економијата ќе расте со просечна стапка од </w:t>
      </w:r>
      <w:r w:rsidRPr="00BF7955">
        <w:rPr>
          <w:rFonts w:ascii="StobiSerif Regular" w:hAnsi="StobiSerif Regular" w:cs="StobiSerif Regular"/>
          <w:sz w:val="22"/>
          <w:szCs w:val="22"/>
          <w:lang w:val="mk-MK"/>
        </w:rPr>
        <w:t xml:space="preserve">4,2 проценти, поткрепена од зголемувањата во производството и градежништвото и од растот на инвестициите (во просек за </w:t>
      </w:r>
      <w:r w:rsidRPr="00BF7955">
        <w:rPr>
          <w:rFonts w:ascii="StobiSerif Regular" w:hAnsi="StobiSerif Regular" w:cs="StobiSerif Regular"/>
          <w:sz w:val="22"/>
          <w:szCs w:val="22"/>
          <w:lang w:val="mk-MK" w:eastAsia="en-GB"/>
        </w:rPr>
        <w:t xml:space="preserve">8,1 процент). Големите инфраструктурни проекти ќе ги подобрат сообраќајната мрежа, енергетската и комуналната инфраструктура, образованието, социјалниот и здравствениот систем. Ризиците со кои што се соочува македонската економија првенствено се должат на си уште кревкото закрепнување на економијата на ЕУ. </w:t>
      </w:r>
    </w:p>
    <w:p w:rsidR="008A3D6C" w:rsidRPr="00BF7955" w:rsidRDefault="008A3D6C" w:rsidP="00E73238">
      <w:pPr>
        <w:jc w:val="both"/>
        <w:rPr>
          <w:rFonts w:ascii="StobiSerif Regular" w:hAnsi="StobiSerif Regular" w:cs="StobiSerif Regular"/>
          <w:sz w:val="22"/>
          <w:szCs w:val="22"/>
          <w:lang w:val="mk-MK" w:eastAsia="en-GB"/>
        </w:rPr>
      </w:pPr>
      <w:r w:rsidRPr="00BF7955">
        <w:rPr>
          <w:rFonts w:ascii="StobiSerif Regular" w:hAnsi="StobiSerif Regular" w:cs="StobiSerif Regular"/>
          <w:sz w:val="22"/>
          <w:szCs w:val="22"/>
          <w:lang w:val="mk-MK" w:eastAsia="en-GB"/>
        </w:rPr>
        <w:t xml:space="preserve">Се очекува дека економскиот раст ќе има позитивно влијание врз трендовите на пазарот на трудот. Во согласност со проекциите за вработеноста на Министерството за труд, бројот на работниците годишно ќе расте за 3 проценти годишно, додека, пак, бројот на барателите на работа ќе се намали за 2,7 проценти. Исто така, се очекува дека пазарот на трудот за младите лица (15-29) ќе се подобри до 2020 година, со раст како на стапката на активност, така и на стапката на вработеност (до 52 проценти и 30,7 проценти, соодветно), и со намалување на стапката на невработеност на 41 процент.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eastAsia="it-IT"/>
        </w:rPr>
        <w:t>Со оглед на достапниот простор во политиките, приоритетите за подобрување на вработеноста на младите лица имаат допирни точки со политиките за образование, развој на приватниот сектор и за пазарот на трудот.</w:t>
      </w:r>
      <w:r w:rsidRPr="00BF7955">
        <w:rPr>
          <w:rFonts w:ascii="StobiSerif Regular" w:hAnsi="StobiSerif Regular" w:cs="StobiSerif Regular"/>
          <w:sz w:val="22"/>
          <w:szCs w:val="22"/>
          <w:lang w:val="mk-MK"/>
        </w:rPr>
        <w:t xml:space="preserve"> Се очекува дека нивната интеракција со макроекономската, инвестициската и социјалната политика ќе ја подобри положбата на младите луѓе на пазарот на трудот.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Среднорочниот ефект од комбинирањето на овие можности од политиките врз вработеноста на младите лица е претставен во следниве параграфи. За секоја област на политиката, анализата и оценувањето на можностите се засноваат врз постоечкиот контекст на политиката и ги разгледуваат потребните проширувања и приспособувања за максимизирање на исходите во смисла на вработувањето на младите лица. </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2.1 Образование и обука</w:t>
      </w:r>
    </w:p>
    <w:p w:rsidR="008A3D6C" w:rsidRPr="00BF7955" w:rsidRDefault="008A3D6C" w:rsidP="00E73238">
      <w:pPr>
        <w:jc w:val="both"/>
        <w:rPr>
          <w:rFonts w:ascii="StobiSerif Regular" w:hAnsi="StobiSerif Regular" w:cs="StobiSerif Regular"/>
          <w:color w:val="000000"/>
          <w:sz w:val="22"/>
          <w:szCs w:val="22"/>
          <w:lang w:val="mk-MK"/>
        </w:rPr>
      </w:pPr>
      <w:r w:rsidRPr="00BF7955">
        <w:rPr>
          <w:rFonts w:ascii="StobiSerif Regular" w:hAnsi="StobiSerif Regular" w:cs="StobiSerif Regular"/>
          <w:sz w:val="22"/>
          <w:szCs w:val="22"/>
          <w:lang w:val="mk-MK"/>
        </w:rPr>
        <w:t xml:space="preserve">Реформата на системот за образование и обука што се спроведуваше во последните неколку години беше од помош за обезбедување на пристап до основното образование за сите, зголемување на стапките на завршување на образованието и намалување на уделот на лицата што предвремено го напуштаат образованието. Општото зголемување на квантитетот на образованието, сепак, сè уште не е проследено од зголемување на неговиот квалитет и релевантност за пазарот на трудот. Ова го покажува неусогласеноста меѓу вештините што младите луѓе ги стекнуваат во системот за образование и обука и вештините што се бараат од страна на претпријатијата (приближно </w:t>
      </w:r>
      <w:r w:rsidRPr="00BF7955">
        <w:rPr>
          <w:rFonts w:ascii="StobiSerif Regular" w:hAnsi="StobiSerif Regular" w:cs="StobiSerif Regular"/>
          <w:color w:val="000000"/>
          <w:sz w:val="22"/>
          <w:szCs w:val="22"/>
          <w:lang w:val="mk-MK"/>
        </w:rPr>
        <w:t xml:space="preserve">35 проценти од вкупниот број млади работници поседуваат вештини што не се соодветни за нивните работни места).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color w:val="000000"/>
          <w:sz w:val="22"/>
          <w:szCs w:val="22"/>
          <w:lang w:val="mk-MK"/>
        </w:rPr>
        <w:t>Поправањето на ваквата состојба бара високо ниво на координација меѓу институциите што се надлежни за политиките за образование и обука, пазар на трудот и развој на претпријатијата и се потпира врз:</w:t>
      </w:r>
      <w:r w:rsidRPr="00BF7955">
        <w:rPr>
          <w:rFonts w:ascii="StobiSerif Regular" w:hAnsi="StobiSerif Regular" w:cs="StobiSerif Regular"/>
          <w:sz w:val="22"/>
          <w:szCs w:val="22"/>
          <w:lang w:val="mk-MK"/>
        </w:rPr>
        <w:t xml:space="preserve"> </w:t>
      </w:r>
    </w:p>
    <w:p w:rsidR="008A3D6C" w:rsidRPr="00BF7955" w:rsidRDefault="008A3D6C" w:rsidP="00E73238">
      <w:pPr>
        <w:pStyle w:val="ListParagraph"/>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развој на сеопфатен систем за предвидување на вештините за обезбедување сигурни и редовно ажурирани информации за креаторите на политиките, како и за учениците, студентите и нивните семејства; </w:t>
      </w:r>
    </w:p>
    <w:p w:rsidR="008A3D6C" w:rsidRPr="00BF7955" w:rsidRDefault="008A3D6C" w:rsidP="00E73238">
      <w:pPr>
        <w:pStyle w:val="ListParagraph"/>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подобрување на релевантноста на образовните исходи во однос на потребите на пазарот на трудот (како што е утврдено во </w:t>
      </w:r>
      <w:r w:rsidRPr="00BF7955">
        <w:rPr>
          <w:rFonts w:ascii="StobiSerif Regular" w:hAnsi="StobiSerif Regular" w:cs="StobiSerif Regular"/>
          <w:i/>
          <w:iCs/>
          <w:sz w:val="22"/>
          <w:szCs w:val="22"/>
          <w:lang w:val="mk-MK"/>
        </w:rPr>
        <w:t>Стратегијата за стручно образование и обука 2013-2020 г., Подобри вештини за подобро утре</w:t>
      </w:r>
      <w:r w:rsidRPr="00BF7955">
        <w:rPr>
          <w:rFonts w:ascii="StobiSerif Regular" w:hAnsi="StobiSerif Regular" w:cs="StobiSerif Regular"/>
          <w:sz w:val="22"/>
          <w:szCs w:val="22"/>
          <w:lang w:val="mk-MK"/>
        </w:rPr>
        <w:t xml:space="preserve">); </w:t>
      </w:r>
    </w:p>
    <w:p w:rsidR="008A3D6C" w:rsidRPr="00BF7955" w:rsidRDefault="008A3D6C" w:rsidP="00E73238">
      <w:pPr>
        <w:pStyle w:val="ListParagraph"/>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интегрирањето на наставата за кариерно насочување во училишните наставни програми и обезбедување квалитетни информации за пазарот на трудот во </w:t>
      </w:r>
      <w:r w:rsidRPr="00BF7955">
        <w:rPr>
          <w:rFonts w:ascii="StobiSerif Regular" w:hAnsi="StobiSerif Regular" w:cs="StobiSerif Regular"/>
          <w:sz w:val="22"/>
          <w:szCs w:val="22"/>
          <w:lang w:val="en-US"/>
        </w:rPr>
        <w:t>клучните</w:t>
      </w:r>
      <w:r w:rsidRPr="00BF7955">
        <w:rPr>
          <w:rFonts w:ascii="StobiSerif Regular" w:hAnsi="StobiSerif Regular" w:cs="StobiSerif Regular"/>
          <w:sz w:val="22"/>
          <w:szCs w:val="22"/>
          <w:lang w:val="mk-MK"/>
        </w:rPr>
        <w:t xml:space="preserve"> моменти во животот на младите луѓе. </w:t>
      </w:r>
    </w:p>
    <w:p w:rsidR="008A3D6C" w:rsidRPr="00BF7955" w:rsidRDefault="008A3D6C" w:rsidP="00E73238">
      <w:pPr>
        <w:jc w:val="both"/>
        <w:rPr>
          <w:rFonts w:ascii="StobiSerif Regular" w:hAnsi="StobiSerif Regular" w:cs="StobiSerif Regular"/>
          <w:b/>
          <w:bCs/>
          <w:color w:val="0070C0"/>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2.2. Развој на приватниот сектор  </w:t>
      </w:r>
    </w:p>
    <w:p w:rsidR="008A3D6C" w:rsidRPr="00BF7955" w:rsidRDefault="008A3D6C" w:rsidP="00E73238">
      <w:pPr>
        <w:jc w:val="both"/>
        <w:rPr>
          <w:rFonts w:ascii="StobiSerif Regular" w:hAnsi="StobiSerif Regular" w:cs="StobiSerif Regular"/>
          <w:i/>
          <w:iCs/>
          <w:sz w:val="22"/>
          <w:szCs w:val="22"/>
          <w:lang w:val="mk-MK" w:eastAsia="it-IT"/>
        </w:rPr>
      </w:pPr>
      <w:r w:rsidRPr="00BF7955">
        <w:rPr>
          <w:rFonts w:ascii="StobiSerif Regular" w:hAnsi="StobiSerif Regular" w:cs="StobiSerif Regular"/>
          <w:color w:val="000000"/>
          <w:sz w:val="22"/>
          <w:szCs w:val="22"/>
          <w:lang w:val="mk-MK"/>
        </w:rPr>
        <w:t xml:space="preserve">На Македонија и е потребна квалитетна инфраструктура за поттикнување на економскиот раст и вработеноста. </w:t>
      </w:r>
      <w:r w:rsidRPr="00BF7955">
        <w:rPr>
          <w:rFonts w:ascii="StobiSerif Regular" w:hAnsi="StobiSerif Regular" w:cs="StobiSerif Regular"/>
          <w:sz w:val="22"/>
          <w:szCs w:val="22"/>
          <w:lang w:val="mk-MK" w:eastAsia="it-IT"/>
        </w:rPr>
        <w:t>Можноста за напредување во оваа област се обезбедува преку програмата за</w:t>
      </w:r>
      <w:r>
        <w:rPr>
          <w:rFonts w:ascii="StobiSerif Regular" w:hAnsi="StobiSerif Regular" w:cs="StobiSerif Regular"/>
          <w:sz w:val="22"/>
          <w:szCs w:val="22"/>
          <w:lang w:val="mk-MK" w:eastAsia="it-IT"/>
        </w:rPr>
        <w:t xml:space="preserve"> капиталните</w:t>
      </w:r>
      <w:r w:rsidRPr="00BF7955">
        <w:rPr>
          <w:rFonts w:ascii="StobiSerif Regular" w:hAnsi="StobiSerif Regular" w:cs="StobiSerif Regular"/>
          <w:sz w:val="22"/>
          <w:szCs w:val="22"/>
          <w:lang w:val="mk-MK" w:eastAsia="it-IT"/>
        </w:rPr>
        <w:t xml:space="preserve"> </w:t>
      </w:r>
      <w:r>
        <w:rPr>
          <w:rFonts w:ascii="StobiSerif Regular" w:hAnsi="StobiSerif Regular" w:cs="StobiSerif Regular"/>
          <w:sz w:val="22"/>
          <w:szCs w:val="22"/>
          <w:lang w:val="mk-MK" w:eastAsia="it-IT"/>
        </w:rPr>
        <w:t>(</w:t>
      </w:r>
      <w:r w:rsidRPr="00BF7955">
        <w:rPr>
          <w:rFonts w:ascii="StobiSerif Regular" w:hAnsi="StobiSerif Regular" w:cs="StobiSerif Regular"/>
          <w:sz w:val="22"/>
          <w:szCs w:val="22"/>
          <w:lang w:val="mk-MK" w:eastAsia="it-IT"/>
        </w:rPr>
        <w:t>јавни</w:t>
      </w:r>
      <w:r>
        <w:rPr>
          <w:rFonts w:ascii="StobiSerif Regular" w:hAnsi="StobiSerif Regular" w:cs="StobiSerif Regular"/>
          <w:sz w:val="22"/>
          <w:szCs w:val="22"/>
          <w:lang w:val="mk-MK" w:eastAsia="it-IT"/>
        </w:rPr>
        <w:t>)</w:t>
      </w:r>
      <w:r w:rsidRPr="00BF7955">
        <w:rPr>
          <w:rFonts w:ascii="StobiSerif Regular" w:hAnsi="StobiSerif Regular" w:cs="StobiSerif Regular"/>
          <w:sz w:val="22"/>
          <w:szCs w:val="22"/>
          <w:lang w:val="mk-MK" w:eastAsia="it-IT"/>
        </w:rPr>
        <w:t xml:space="preserve"> инвестиции </w:t>
      </w:r>
      <w:r>
        <w:rPr>
          <w:rFonts w:ascii="StobiSerif Regular" w:hAnsi="StobiSerif Regular" w:cs="StobiSerif Regular"/>
          <w:sz w:val="22"/>
          <w:szCs w:val="22"/>
          <w:lang w:val="mk-MK" w:eastAsia="it-IT"/>
        </w:rPr>
        <w:t xml:space="preserve">се реализираат согласно предвиденото во Програмата за работа на Владата на Република Македонија 2014-2018 година </w:t>
      </w:r>
      <w:r w:rsidRPr="00BF7955">
        <w:rPr>
          <w:rFonts w:ascii="StobiSerif Regular" w:hAnsi="StobiSerif Regular" w:cs="StobiSerif Regular"/>
          <w:sz w:val="22"/>
          <w:szCs w:val="22"/>
          <w:lang w:val="mk-MK" w:eastAsia="it-IT"/>
        </w:rPr>
        <w:t>преку која што приближно 1.5 милијарди евра ќе бидат распределени за подобрување на сообраќајната и енергетската мрежа. Се очекува дека ваквата голема инвестиција ќе придонесе за отворањето на приближно 66.000 нови работни места (директно, индиректно и поттикнато).</w:t>
      </w:r>
      <w:r w:rsidRPr="00BF7955">
        <w:rPr>
          <w:rStyle w:val="FootnoteReference"/>
          <w:rFonts w:ascii="StobiSerif Regular" w:hAnsi="StobiSerif Regular" w:cs="StobiSerif Regular"/>
          <w:sz w:val="22"/>
          <w:szCs w:val="22"/>
          <w:lang w:val="mk-MK" w:eastAsia="it-IT"/>
        </w:rPr>
        <w:footnoteReference w:id="5"/>
      </w:r>
      <w:r w:rsidRPr="00BF7955">
        <w:rPr>
          <w:rFonts w:ascii="StobiSerif Regular" w:hAnsi="StobiSerif Regular" w:cs="StobiSerif Regular"/>
          <w:sz w:val="22"/>
          <w:szCs w:val="22"/>
          <w:lang w:val="mk-MK" w:eastAsia="it-IT"/>
        </w:rPr>
        <w:t xml:space="preserve"> </w:t>
      </w:r>
    </w:p>
    <w:p w:rsidR="008A3D6C" w:rsidRPr="00BF7955" w:rsidRDefault="008A3D6C" w:rsidP="00E73238">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Мерките за натамошно подобрување на деловното окружување и за отстранување на главните пречки за растот на претпријатијата (т.е., капацитетот за иновирање и пристапот до кредити) се веќе во подготовка. Конкретно, се очекува дека деловното окружување ќе се подобри преку реформите на катастарот (што ќе го забрзаат процесот за регистрирање на имотот и добивање градежна дозвола); употребата на виртуелен терминал на продажно место за плаќање на даноците; воведување на електронска стечајна постапка; и воспоставување на едношалтерски систем како за домашните, така и за странските инвеститори за олеснување на административните барања за претпријатијата. </w:t>
      </w:r>
    </w:p>
    <w:p w:rsidR="008A3D6C" w:rsidRPr="00BF7955" w:rsidRDefault="008A3D6C" w:rsidP="00E73238">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Се планираат повеќе иницијативи за намалување на обемот на неформалната економија (</w:t>
      </w:r>
      <w:r w:rsidRPr="00BF7955">
        <w:rPr>
          <w:rFonts w:ascii="StobiSerif Regular" w:hAnsi="StobiSerif Regular" w:cs="StobiSerif Regular"/>
          <w:i/>
          <w:iCs/>
          <w:color w:val="000000"/>
          <w:sz w:val="22"/>
          <w:szCs w:val="22"/>
          <w:lang w:val="mk-MK"/>
        </w:rPr>
        <w:t>Националниот акциски план</w:t>
      </w:r>
      <w:r w:rsidRPr="00BF7955">
        <w:rPr>
          <w:rFonts w:ascii="StobiSerif Regular" w:hAnsi="StobiSerif Regular" w:cs="StobiSerif Regular"/>
          <w:color w:val="000000"/>
          <w:sz w:val="22"/>
          <w:szCs w:val="22"/>
          <w:lang w:val="mk-MK"/>
        </w:rPr>
        <w:t xml:space="preserve"> од 2014 година за намалување на сивата економија).</w:t>
      </w:r>
      <w:r w:rsidRPr="00BF7955">
        <w:rPr>
          <w:rFonts w:ascii="StobiSerif Regular" w:hAnsi="StobiSerif Regular" w:cs="StobiSerif Regular"/>
          <w:sz w:val="22"/>
          <w:szCs w:val="22"/>
          <w:lang w:val="mk-MK" w:eastAsia="en-GB"/>
        </w:rPr>
        <w:t xml:space="preserve"> Се очекува дека спроведувањето на мерките од овој план ќе има мерлив ефект врз неформалното вработување, особено за групата на младите лица.  </w:t>
      </w:r>
    </w:p>
    <w:p w:rsidR="008A3D6C" w:rsidRPr="00BF7955" w:rsidRDefault="008A3D6C" w:rsidP="00E73238">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Два инструменти ќе бидат од суштинско значење во следните неколку години за подобрување на капацитетот за иновативност на претпријатијата и олеснувањето на нивниот пристап до кредити. </w:t>
      </w:r>
      <w:r w:rsidRPr="00BF7955">
        <w:rPr>
          <w:rFonts w:ascii="StobiSerif Regular" w:hAnsi="StobiSerif Regular" w:cs="StobiSerif Regular"/>
          <w:i/>
          <w:iCs/>
          <w:color w:val="000000"/>
          <w:sz w:val="22"/>
          <w:szCs w:val="22"/>
          <w:lang w:val="mk-MK"/>
        </w:rPr>
        <w:t>Фондот за иновации и технолошки развој</w:t>
      </w:r>
      <w:r w:rsidRPr="00BF7955">
        <w:rPr>
          <w:rFonts w:ascii="StobiSerif Regular" w:hAnsi="StobiSerif Regular" w:cs="StobiSerif Regular"/>
          <w:color w:val="000000"/>
          <w:sz w:val="22"/>
          <w:szCs w:val="22"/>
          <w:lang w:val="mk-MK"/>
        </w:rPr>
        <w:t xml:space="preserve"> ќе стави на располагање четири инструменти (систем од шеми за грантови во износ од 9,4 милиони евра) за кофинансирање на проектите за иновации и технолошки развој. Дополнително, Македонската развојна банка ќе им понуди на домашните МСП кредитна линија од 100 милиони евра по фиксна каматна стапка и со подолги рокови за отплата. Претходното искуство упатува на тоа дека проектите што се финансираат преку такви кредитни линии отвораат по едно ново работно место на секои исплатени 57.000 евра. Комбинираниот ефект на сите горенаведени активности (подобрување на инвестициската клима, промовирање на иновациите и зголемување на пристапот до можностите за финансирање) се очекува дека ќе даде мерливи резултати во однос на конкурентноста на Македонија (измерена од страна на </w:t>
      </w:r>
      <w:r w:rsidRPr="00BF7955">
        <w:rPr>
          <w:rFonts w:ascii="StobiSerif Regular" w:hAnsi="StobiSerif Regular" w:cs="StobiSerif Regular"/>
          <w:i/>
          <w:iCs/>
          <w:color w:val="000000"/>
          <w:sz w:val="22"/>
          <w:szCs w:val="22"/>
          <w:lang w:val="mk-MK"/>
        </w:rPr>
        <w:t>Светскиот извештај за конкурентност</w:t>
      </w:r>
      <w:r w:rsidRPr="00BF7955">
        <w:rPr>
          <w:rFonts w:ascii="StobiSerif Regular" w:hAnsi="StobiSerif Regular" w:cs="StobiSerif Regular"/>
          <w:color w:val="000000"/>
          <w:sz w:val="22"/>
          <w:szCs w:val="22"/>
          <w:lang w:val="mk-MK"/>
        </w:rPr>
        <w:t xml:space="preserve">). </w:t>
      </w:r>
    </w:p>
    <w:p w:rsidR="008A3D6C" w:rsidRPr="00BF7955" w:rsidRDefault="008A3D6C" w:rsidP="00E73238">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Земајќи го предвид ваквиот контекст, најизводливата опција за подобрување на можностите за вработување на младите луѓе се потпира врз постоечките иницијативи и центри за максимизирање на приносите во смисла на вработувањето на младите лица (15-29) преку:</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Обезбедување пакет од стимулации за унапредување на капацитетите за отворање работни места, што вклучува: i) пристап до услугите и програмите за вработување за претпријатијата што се вклучени во проектите за развој на инфраструктурата што се финансираат од страна на државата; ii) проширување на постоечкиот систем на даночни олеснувања (член 98  на </w:t>
      </w:r>
      <w:r w:rsidRPr="00BF7955">
        <w:rPr>
          <w:rFonts w:ascii="StobiSerif Regular" w:hAnsi="StobiSerif Regular" w:cs="StobiSerif Regular"/>
          <w:i/>
          <w:iCs/>
          <w:sz w:val="22"/>
          <w:szCs w:val="22"/>
          <w:lang w:val="mk-MK"/>
        </w:rPr>
        <w:t>Законот за вработување и осигурување во случај на невработеност</w:t>
      </w:r>
      <w:r w:rsidRPr="00BF7955">
        <w:rPr>
          <w:rFonts w:ascii="StobiSerif Regular" w:hAnsi="StobiSerif Regular" w:cs="StobiSerif Regular"/>
          <w:sz w:val="22"/>
          <w:szCs w:val="22"/>
          <w:lang w:val="mk-MK"/>
        </w:rPr>
        <w:t>) по 2016 година за промовирање на ангажирањето млади работници (15-29)</w:t>
      </w:r>
      <w:r w:rsidRPr="00BF7955">
        <w:rPr>
          <w:rStyle w:val="FootnoteReference"/>
          <w:rFonts w:ascii="StobiSerif Regular" w:hAnsi="StobiSerif Regular" w:cs="StobiSerif Regular"/>
          <w:sz w:val="22"/>
          <w:szCs w:val="22"/>
          <w:lang w:val="mk-MK"/>
        </w:rPr>
        <w:footnoteReference w:id="6"/>
      </w:r>
      <w:r w:rsidRPr="00BF7955">
        <w:rPr>
          <w:rFonts w:ascii="StobiSerif Regular" w:hAnsi="StobiSerif Regular" w:cs="StobiSerif Regular"/>
          <w:sz w:val="22"/>
          <w:szCs w:val="22"/>
          <w:lang w:val="mk-MK"/>
        </w:rPr>
        <w:t xml:space="preserve">; и iii) проширување на услугите за развој на деловното работење за зголемување на капацитетот на претпријатијата за пристап до достапните можности за финансирање.  </w:t>
      </w:r>
    </w:p>
    <w:p w:rsidR="008A3D6C" w:rsidRPr="00BF7955" w:rsidRDefault="008A3D6C" w:rsidP="00E73238">
      <w:pPr>
        <w:jc w:val="both"/>
        <w:rPr>
          <w:rFonts w:ascii="StobiSerif Regular" w:hAnsi="StobiSerif Regular" w:cs="StobiSerif Regular"/>
          <w:b/>
          <w:bCs/>
          <w:color w:val="0070C0"/>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2.3. Политики за пазарот на трудот </w:t>
      </w:r>
    </w:p>
    <w:p w:rsidR="008A3D6C" w:rsidRPr="00BF7955" w:rsidRDefault="008A3D6C" w:rsidP="00E73238">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Структурната природа на предизвиците во однос на вработувањето на младите лица во Македонија го условува решавањето на ограничувањата на понудата и побарувачката. Иако забрзувањето на реформите на системот за образование и обука ќе помогне во справувањето со неусогласеноста на понудата и побарувачката на вештини на пазарот на трудот и подобрувањето на инвестициската клима ќе го поддржи капацитетот на претпријатијата за отворање работни места, достапноста на ефективните услуги и програми за вработување ќе осигури дека ниедно младо лице не е препуштено само на себе. </w:t>
      </w:r>
    </w:p>
    <w:p w:rsidR="008A3D6C" w:rsidRPr="00BF7955" w:rsidRDefault="008A3D6C" w:rsidP="00E73238">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Сепак, во Македонија, едноставното обезбедување дополнителни финансиски средства за активните политики на пазарот на трудот повеќе не е доволно за осигурување дека младите луѓе добиваат квалитетни услуги за вработување. „Постигнувањето повеќе со помалку средства“ повеќе не е опција за Агенцијата за вработување на РМ, со оглед на тоа што недостигот на човечки ресурси и влошувањето на состојбата на физичката и ИКТ инфраструктурата се претвораат во пречки за обезбедувањето на услугите. Во овој контекст, интервенциите од политиките што се планирани за периодот 2016-2020 г. ќе се фокусираат на: </w:t>
      </w:r>
    </w:p>
    <w:p w:rsidR="008A3D6C" w:rsidRPr="00BF7955" w:rsidRDefault="008A3D6C" w:rsidP="00E73238">
      <w:pPr>
        <w:pStyle w:val="ListParagraph"/>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Забрзување на процесот за модернизација на АВРМ – вклучувајќи надградба на физичката инфраструктура, ИКТ системот и спроведување на план за ангажирање и развој на човечки ресурси – како клучен процес за проширување на обемот и подобрување на квалитетот на услугите;</w:t>
      </w:r>
    </w:p>
    <w:p w:rsidR="008A3D6C" w:rsidRPr="00BF7955" w:rsidRDefault="008A3D6C" w:rsidP="00E73238">
      <w:pPr>
        <w:pStyle w:val="ListParagraph"/>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Приспособување на механизмот за спроведување и буџетската рамка на активните политики на пазарот на трудот, што вклучува интегрирање на пристапите за профилирање; развој на наменски услуги за младите невработени лица и воведувањето на програмата </w:t>
      </w:r>
      <w:r w:rsidRPr="00BF7955">
        <w:rPr>
          <w:rFonts w:ascii="StobiSerif Regular" w:hAnsi="StobiSerif Regular" w:cs="StobiSerif Regular"/>
          <w:i/>
          <w:iCs/>
          <w:color w:val="000000"/>
          <w:sz w:val="22"/>
          <w:szCs w:val="22"/>
          <w:lang w:val="mk-MK"/>
        </w:rPr>
        <w:t>Старт за млади</w:t>
      </w:r>
      <w:r w:rsidRPr="00BF7955">
        <w:rPr>
          <w:rFonts w:ascii="StobiSerif Regular" w:hAnsi="StobiSerif Regular" w:cs="StobiSerif Regular"/>
          <w:color w:val="000000"/>
          <w:sz w:val="22"/>
          <w:szCs w:val="22"/>
          <w:lang w:val="mk-MK"/>
        </w:rPr>
        <w:t>; и општо зголемување на расположливите буџетски средства за спроведување на активните програми на пазарот на трудот;</w:t>
      </w:r>
    </w:p>
    <w:p w:rsidR="008A3D6C" w:rsidRPr="00BF7955" w:rsidRDefault="008A3D6C" w:rsidP="00E73238">
      <w:pPr>
        <w:pStyle w:val="ListParagraph"/>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Воведување повеќе и подобри услуги за работодавачите и зајакнување на услугите за посредување при вработување. </w:t>
      </w:r>
    </w:p>
    <w:p w:rsidR="008A3D6C" w:rsidRDefault="008A3D6C">
      <w:pPr>
        <w:rPr>
          <w:rFonts w:ascii="StobiSerif Regular" w:hAnsi="StobiSerif Regular" w:cs="StobiSerif Regular"/>
          <w:sz w:val="22"/>
          <w:szCs w:val="22"/>
          <w:lang w:val="mk-MK"/>
        </w:rPr>
      </w:pPr>
      <w:r>
        <w:rPr>
          <w:rFonts w:ascii="StobiSerif Regular" w:hAnsi="StobiSerif Regular" w:cs="StobiSerif Regular"/>
          <w:sz w:val="22"/>
          <w:szCs w:val="22"/>
          <w:lang w:val="mk-MK"/>
        </w:rPr>
        <w:br w:type="page"/>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ДЕЛ III - ПЛАНИРАЊЕ АКТИВНОСТИ</w:t>
      </w:r>
    </w:p>
    <w:p w:rsidR="008A3D6C" w:rsidRPr="00BF7955" w:rsidRDefault="008A3D6C" w:rsidP="00E73238">
      <w:pPr>
        <w:jc w:val="both"/>
        <w:rPr>
          <w:rFonts w:ascii="StobiSerif Regular" w:hAnsi="StobiSerif Regular" w:cs="StobiSerif Regular"/>
          <w:b/>
          <w:bCs/>
          <w:color w:val="0070C0"/>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1. Крајна цел </w:t>
      </w:r>
    </w:p>
    <w:p w:rsidR="008A3D6C" w:rsidRPr="00BF7955" w:rsidRDefault="008A3D6C" w:rsidP="00E73238">
      <w:pPr>
        <w:jc w:val="both"/>
        <w:rPr>
          <w:rFonts w:ascii="StobiSerif Regular" w:hAnsi="StobiSerif Regular" w:cs="StobiSerif Regular"/>
          <w:b/>
          <w:bCs/>
          <w:sz w:val="22"/>
          <w:szCs w:val="22"/>
          <w:lang w:val="mk-MK"/>
        </w:rPr>
      </w:pPr>
      <w:r w:rsidRPr="00BF7955">
        <w:rPr>
          <w:rFonts w:ascii="StobiSerif Regular" w:hAnsi="StobiSerif Regular" w:cs="StobiSerif Regular"/>
          <w:sz w:val="22"/>
          <w:szCs w:val="22"/>
          <w:lang w:val="mk-MK"/>
        </w:rPr>
        <w:t xml:space="preserve">Крајната цел на </w:t>
      </w:r>
      <w:r w:rsidRPr="00BF7955">
        <w:rPr>
          <w:rFonts w:ascii="StobiSerif Regular" w:hAnsi="StobiSerif Regular" w:cs="StobiSerif Regular"/>
          <w:i/>
          <w:iCs/>
          <w:sz w:val="22"/>
          <w:szCs w:val="22"/>
          <w:lang w:val="mk-MK"/>
        </w:rPr>
        <w:t xml:space="preserve">Националниот Акциски план за вработување млади лица 2020 г. </w:t>
      </w:r>
      <w:r w:rsidRPr="00BF7955">
        <w:rPr>
          <w:rFonts w:ascii="StobiSerif Regular" w:hAnsi="StobiSerif Regular" w:cs="StobiSerif Regular"/>
          <w:sz w:val="22"/>
          <w:szCs w:val="22"/>
          <w:lang w:val="mk-MK"/>
        </w:rPr>
        <w:t xml:space="preserve">е </w:t>
      </w:r>
      <w:r w:rsidRPr="00BF7955">
        <w:rPr>
          <w:rFonts w:ascii="StobiSerif Regular" w:hAnsi="StobiSerif Regular" w:cs="StobiSerif Regular"/>
          <w:b/>
          <w:bCs/>
          <w:sz w:val="22"/>
          <w:szCs w:val="22"/>
          <w:lang w:val="mk-MK"/>
        </w:rPr>
        <w:t>промовирањето повеќе и подобри работни места за младите мажи и жени.</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2. Специфични цели и насоки за вработување млади лица</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Владата спроведува структурни реформи што се предвидени во </w:t>
      </w:r>
      <w:r w:rsidRPr="00BF7955">
        <w:rPr>
          <w:rFonts w:ascii="StobiSerif Regular" w:hAnsi="StobiSerif Regular" w:cs="StobiSerif Regular"/>
          <w:i/>
          <w:iCs/>
          <w:sz w:val="22"/>
          <w:szCs w:val="22"/>
          <w:lang w:val="mk-MK"/>
        </w:rPr>
        <w:t>Националната програма на економски реформи 2015 г.</w:t>
      </w:r>
      <w:r w:rsidRPr="00BF7955">
        <w:rPr>
          <w:rFonts w:ascii="StobiSerif Regular" w:hAnsi="StobiSerif Regular" w:cs="StobiSerif Regular"/>
          <w:sz w:val="22"/>
          <w:szCs w:val="22"/>
          <w:lang w:val="mk-MK"/>
        </w:rPr>
        <w:t xml:space="preserve">, што се фокусираат на подобрувањето на условите на пазарот на трудот; поддршка на иновациите; зајакнување на националната конкурентност, подобрување на човечкиот капитал и создавање повеќе и подобри работни места. За да се осигури дека младите луѓе имаат придобивки од структурните реформи, потребно е да се реши проблемот со неусогласеноста на понудата и побарувачката на вештините; да се промовира отворањето работни места во приватниот сектор; и да се зајакне обезбедувањето на услугите за вработување и спроведувањето на програмите за вработување. Според тоа, првата приоритетна цел на </w:t>
      </w:r>
      <w:r w:rsidRPr="00BF7955">
        <w:rPr>
          <w:rFonts w:ascii="StobiSerif Regular" w:hAnsi="StobiSerif Regular" w:cs="StobiSerif Regular"/>
          <w:i/>
          <w:iCs/>
          <w:sz w:val="22"/>
          <w:szCs w:val="22"/>
          <w:lang w:val="mk-MK"/>
        </w:rPr>
        <w:t xml:space="preserve">Акцискиот план </w:t>
      </w:r>
      <w:r w:rsidRPr="00BF7955">
        <w:rPr>
          <w:rFonts w:ascii="StobiSerif Regular" w:hAnsi="StobiSerif Regular" w:cs="StobiSerif Regular"/>
          <w:sz w:val="22"/>
          <w:szCs w:val="22"/>
          <w:lang w:val="mk-MK"/>
        </w:rPr>
        <w:t>е:</w:t>
      </w:r>
    </w:p>
    <w:p w:rsidR="008A3D6C" w:rsidRPr="00BF7955" w:rsidRDefault="008A3D6C" w:rsidP="00E73238">
      <w:pPr>
        <w:pStyle w:val="Paragrafoelenco1"/>
        <w:jc w:val="both"/>
        <w:rPr>
          <w:rFonts w:ascii="StobiSerif Regular" w:hAnsi="StobiSerif Regular" w:cs="StobiSerif Regular"/>
          <w:b/>
          <w:bCs/>
          <w:i/>
          <w:iCs/>
          <w:color w:val="0070C0"/>
          <w:lang w:val="mk-MK"/>
        </w:rPr>
      </w:pPr>
      <w:r w:rsidRPr="00BF7955">
        <w:rPr>
          <w:rFonts w:ascii="StobiSerif Regular" w:hAnsi="StobiSerif Regular" w:cs="StobiSerif Regular"/>
          <w:b/>
          <w:bCs/>
          <w:i/>
          <w:iCs/>
          <w:color w:val="0070C0"/>
          <w:lang w:val="mk-MK"/>
        </w:rPr>
        <w:t xml:space="preserve">Подобрување на усогласеноста на понудата на вештини со барањата на пазарот на трудот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Оваа цел има две зацртани цели, имено, зголемување од 20 проценти на бројот на младите лица на возраст од 15 до 29 години што работат на работни места што се соодветни на нивните квалификации и намалување од 4 процентни поени на бројот на нискоквалификуваните млади лица.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За подобрување на положбата на младите лица на пазарот на трудот потребни се конкурентни претпријатија што се способни да отвораат повеќе и подобри работни места. Следствено, втората политичка цел на Акцискиот план е:</w:t>
      </w:r>
    </w:p>
    <w:p w:rsidR="008A3D6C" w:rsidRPr="00BF7955" w:rsidRDefault="008A3D6C" w:rsidP="00E73238">
      <w:pPr>
        <w:pStyle w:val="Paragrafoelenco1"/>
        <w:jc w:val="both"/>
        <w:rPr>
          <w:rFonts w:ascii="StobiSerif Regular" w:hAnsi="StobiSerif Regular" w:cs="StobiSerif Regular"/>
          <w:b/>
          <w:bCs/>
          <w:i/>
          <w:iCs/>
          <w:color w:val="0070C0"/>
          <w:lang w:val="mk-MK"/>
        </w:rPr>
      </w:pPr>
      <w:r w:rsidRPr="00BF7955">
        <w:rPr>
          <w:rFonts w:ascii="StobiSerif Regular" w:hAnsi="StobiSerif Regular" w:cs="StobiSerif Regular"/>
          <w:b/>
          <w:bCs/>
          <w:i/>
          <w:iCs/>
          <w:color w:val="0070C0"/>
          <w:lang w:val="mk-MK"/>
        </w:rPr>
        <w:t xml:space="preserve">Промовирање на отворањето работни места предводено од приватниот сектор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Оваа цел има зацртана цел за зголемување од 5 процентни поени на уделот на младите лица (15-29) што се вработени.</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Намалувањето на неусогласеноста на понудата и побарувачката на вештини и зајакнувањето на капацитетот на приватниот сектор за отворање повеќе работни места нема да осигури лесна транзиција за младите што ги пропуштиле можностите за стекнување образование, или за оние што немаат работно искуство или се под ризик од долгорочна невработеност. Оттаму, третата и последна цел на </w:t>
      </w:r>
      <w:r w:rsidRPr="00BF7955">
        <w:rPr>
          <w:rFonts w:ascii="StobiSerif Regular" w:hAnsi="StobiSerif Regular" w:cs="StobiSerif Regular"/>
          <w:i/>
          <w:iCs/>
          <w:sz w:val="22"/>
          <w:szCs w:val="22"/>
          <w:lang w:val="mk-MK"/>
        </w:rPr>
        <w:t>Акцискиот план</w:t>
      </w:r>
      <w:r w:rsidRPr="00BF7955">
        <w:rPr>
          <w:rFonts w:ascii="StobiSerif Regular" w:hAnsi="StobiSerif Regular" w:cs="StobiSerif Regular"/>
          <w:sz w:val="22"/>
          <w:szCs w:val="22"/>
          <w:lang w:val="mk-MK"/>
        </w:rPr>
        <w:t xml:space="preserve"> е:</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br w:type="page"/>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pStyle w:val="Paragrafoelenco1"/>
        <w:jc w:val="both"/>
        <w:rPr>
          <w:rFonts w:ascii="StobiSerif Regular" w:hAnsi="StobiSerif Regular" w:cs="StobiSerif Regular"/>
          <w:b/>
          <w:bCs/>
          <w:i/>
          <w:iCs/>
          <w:color w:val="0070C0"/>
          <w:lang w:val="mk-MK"/>
        </w:rPr>
      </w:pPr>
      <w:bookmarkStart w:id="10" w:name="OLE_LINK3"/>
      <w:bookmarkStart w:id="11" w:name="OLE_LINK4"/>
      <w:r w:rsidRPr="00BF7955">
        <w:rPr>
          <w:rFonts w:ascii="StobiSerif Regular" w:hAnsi="StobiSerif Regular" w:cs="StobiSerif Regular"/>
          <w:b/>
          <w:bCs/>
          <w:i/>
          <w:iCs/>
          <w:color w:val="0070C0"/>
          <w:lang w:val="mk-MK"/>
        </w:rPr>
        <w:t xml:space="preserve">Олеснување на преминот на младите лица во светот на работата. </w:t>
      </w:r>
    </w:p>
    <w:bookmarkEnd w:id="10"/>
    <w:bookmarkEnd w:id="11"/>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Во рамките на оваа цел има две зацртани цели, имено, зголемување од 30 проценти на бројот на младите невработени лица што имаат пристап до квалитетни услуги за вработување во локалните центри за вработување; и 15 проценти од сите млади лица што првпат се пријавуваат како невработени добиваат пристап кон наменски услуги.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Временската рамка на </w:t>
      </w:r>
      <w:r w:rsidRPr="00BF7955">
        <w:rPr>
          <w:rFonts w:ascii="StobiSerif Regular" w:hAnsi="StobiSerif Regular" w:cs="StobiSerif Regular"/>
          <w:i/>
          <w:iCs/>
          <w:sz w:val="22"/>
          <w:szCs w:val="22"/>
          <w:lang w:val="mk-MK"/>
        </w:rPr>
        <w:t>Акцискиот план за вработување млади лица</w:t>
      </w:r>
      <w:r w:rsidRPr="00BF7955">
        <w:rPr>
          <w:rFonts w:ascii="StobiSerif Regular" w:hAnsi="StobiSerif Regular" w:cs="StobiSerif Regular"/>
          <w:sz w:val="22"/>
          <w:szCs w:val="22"/>
          <w:lang w:val="mk-MK"/>
        </w:rPr>
        <w:t xml:space="preserve"> е пет години, од 2016 до 2020 година. Вкупниот број на млади луѓе во целната група изнесува приближно 200.000 млади мажи и жени (што е приближно еднакво на 42 проценти од вкупното младо население на возраст од 15 до 29 години).</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3. Клучни исходи и показатели</w:t>
      </w:r>
    </w:p>
    <w:p w:rsidR="008A3D6C" w:rsidRPr="00BF7955" w:rsidRDefault="008A3D6C" w:rsidP="00E73238">
      <w:pPr>
        <w:jc w:val="both"/>
        <w:rPr>
          <w:rFonts w:ascii="StobiSerif Regular" w:hAnsi="StobiSerif Regular" w:cs="StobiSerif Regular"/>
          <w:b/>
          <w:bCs/>
          <w:i/>
          <w:iCs/>
          <w:color w:val="0070C0"/>
          <w:sz w:val="22"/>
          <w:szCs w:val="22"/>
          <w:lang w:val="mk-MK"/>
        </w:rPr>
      </w:pPr>
    </w:p>
    <w:p w:rsidR="008A3D6C" w:rsidRPr="00BF7955" w:rsidRDefault="008A3D6C" w:rsidP="00E73238">
      <w:pPr>
        <w:pStyle w:val="Paragrafoelenco1"/>
        <w:jc w:val="both"/>
        <w:rPr>
          <w:rFonts w:ascii="StobiSerif Regular" w:hAnsi="StobiSerif Regular" w:cs="StobiSerif Regular"/>
          <w:b/>
          <w:bCs/>
          <w:i/>
          <w:iCs/>
          <w:color w:val="0070C0"/>
          <w:lang w:val="mk-MK"/>
        </w:rPr>
      </w:pPr>
      <w:r w:rsidRPr="00BF7955">
        <w:rPr>
          <w:rFonts w:ascii="StobiSerif Regular" w:hAnsi="StobiSerif Regular" w:cs="StobiSerif Regular"/>
          <w:b/>
          <w:bCs/>
          <w:i/>
          <w:iCs/>
          <w:color w:val="0070C0"/>
          <w:lang w:val="mk-MK"/>
        </w:rPr>
        <w:t xml:space="preserve">Подобрување на усогласеноста на понудата на вештини со барањата на пазарот на трудот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Постигнувањето на оваа цел се заснова врз три меѓусебно поврзани исходи: i) развиен систем за предвидување на вештините што обезбедува информации за креирање на политиките и за изборот на образованието и работата од страна на поединци; ii) образовните исходи на младите граѓани на Македонија се подобруваат со текот на времето и соодветствуваат на потребите на пазарот на трудот; и iii) младите луѓе имаат пристап до квалитетна настава и услуги за кариерно насочување. </w:t>
      </w:r>
    </w:p>
    <w:p w:rsidR="008A3D6C" w:rsidRPr="00BF7955" w:rsidRDefault="008A3D6C" w:rsidP="00E73238">
      <w:pPr>
        <w:jc w:val="both"/>
        <w:rPr>
          <w:rFonts w:ascii="StobiSerif Regular" w:hAnsi="StobiSerif Regular" w:cs="StobiSerif Regular"/>
          <w:b/>
          <w:bCs/>
          <w:i/>
          <w:iCs/>
          <w:sz w:val="22"/>
          <w:szCs w:val="22"/>
          <w:lang w:val="mk-MK"/>
        </w:rPr>
      </w:pPr>
    </w:p>
    <w:p w:rsidR="008A3D6C" w:rsidRPr="00BF7955" w:rsidRDefault="008A3D6C" w:rsidP="00E73238">
      <w:pPr>
        <w:jc w:val="both"/>
        <w:rPr>
          <w:rFonts w:ascii="StobiSerif Regular" w:hAnsi="StobiSerif Regular" w:cs="StobiSerif Regular"/>
          <w:b/>
          <w:bCs/>
          <w:i/>
          <w:iCs/>
          <w:sz w:val="22"/>
          <w:szCs w:val="22"/>
          <w:lang w:val="mk-MK"/>
        </w:rPr>
      </w:pPr>
      <w:r w:rsidRPr="00BF7955">
        <w:rPr>
          <w:rFonts w:ascii="StobiSerif Regular" w:hAnsi="StobiSerif Regular" w:cs="StobiSerif Regular"/>
          <w:b/>
          <w:bCs/>
          <w:i/>
          <w:iCs/>
          <w:sz w:val="22"/>
          <w:szCs w:val="22"/>
          <w:lang w:val="mk-MK"/>
        </w:rPr>
        <w:t>Исход 1.1 – Системот за предвидување на вештините е развиен и обезбедува информации за креирањето на политиките за образование и за пазарот на трудот, како и за изборите што ги прават младите луѓе</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До 2020 година, најмалку 85 проценти од младите работници (15-29) се вработени на работни места што соодветствуваат на нивните квалификации;</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Неусогласеноста меѓу занимањата и вештините на македонскиот пазар на трудот не е повисока од 15 проценти.</w:t>
      </w:r>
    </w:p>
    <w:p w:rsidR="008A3D6C" w:rsidRPr="00BF7955" w:rsidRDefault="008A3D6C" w:rsidP="00E73238">
      <w:pPr>
        <w:pStyle w:val="Paragrafoelenco1"/>
        <w:jc w:val="both"/>
        <w:rPr>
          <w:rFonts w:ascii="StobiSerif Regular" w:hAnsi="StobiSerif Regular" w:cs="StobiSerif Regular"/>
          <w:lang w:val="mk-MK"/>
        </w:rPr>
      </w:pPr>
    </w:p>
    <w:p w:rsidR="008A3D6C" w:rsidRPr="00BF7955" w:rsidRDefault="008A3D6C" w:rsidP="00E73238">
      <w:pPr>
        <w:pStyle w:val="Pa4"/>
        <w:jc w:val="both"/>
        <w:rPr>
          <w:rFonts w:ascii="StobiSerif Regular" w:hAnsi="StobiSerif Regular" w:cs="StobiSerif Regular"/>
          <w:color w:val="000000"/>
          <w:sz w:val="22"/>
          <w:szCs w:val="22"/>
          <w:lang w:val="mk-MK" w:eastAsia="en-US"/>
        </w:rPr>
      </w:pPr>
      <w:r w:rsidRPr="00BF7955">
        <w:rPr>
          <w:rFonts w:ascii="StobiSerif Regular" w:hAnsi="StobiSerif Regular" w:cs="StobiSerif Regular"/>
          <w:b/>
          <w:bCs/>
          <w:color w:val="0070C0"/>
          <w:sz w:val="22"/>
          <w:szCs w:val="22"/>
          <w:lang w:val="mk-MK" w:eastAsia="en-US"/>
        </w:rPr>
        <w:t xml:space="preserve">Почетна состојба: </w:t>
      </w:r>
      <w:r w:rsidRPr="00BF7955">
        <w:rPr>
          <w:rFonts w:ascii="StobiSerif Regular" w:hAnsi="StobiSerif Regular" w:cs="StobiSerif Regular"/>
          <w:color w:val="000000"/>
          <w:sz w:val="22"/>
          <w:szCs w:val="22"/>
          <w:lang w:val="mk-MK" w:eastAsia="en-US"/>
        </w:rPr>
        <w:t xml:space="preserve">Во 2014 година приближно 77.700 млади мажи и жени (15-29) биле вработени на работни места што се соодветни на нивното образовно ниво (64,8 проценти од вкупната вработеност). Преквалификуваноста засегала приближно 18,9 проценти од сите млади работници, додека, пак, 16,2 проценти од сите вработени млади лица биле недоволно квалификувани (35,2 проценти севкупна неусогласеност на вештините за групата 15-29).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Опсегот на јавно достапните информации за пазарот на трудот се зголемил значително во текот на последните неколку години, но релевантноста и квалитетот на информациите сè уште може да се подобрува. Исто така, од суштинско значење е овие информации да станат достапни во лесно разбирлива форма и да бидат широко распространети. За оваа цел, МТСП ќе ги здружи силите со Агенцијата за вработување на Република Македонија (АВРМ), Министерството за образование и наука (МОН) и со мрежата на македонските младински невладини организации за да осигури дека младите луѓе ги добиваат информациите што им се неопходни за носење подобри одлуки во однос на образованието и вработувањето.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Системот за предвидување на вештините ќе се изгради врз основа на целосно развиен модел за предвидување (софтвер и методологија) и ќе вклучува: i) податоци за пазарот на трудот (и од административни извори и од анкетни истражувања); ii) информациите што произлегуваат од активностите на Опсерваторијата на вештини што треба да се формира од страна на Министерството за образование (програми за образование и учење на возрасните, поставување на дипломците на работно место и трошоците на студиите); iii) предвидувањата што произлегуваат од секторските истражувања што Единицата за пазарот на трудот во рамките на МТСП треба да ги нарача од надворешни истражувачки организации сè додека не бидат целосно воспоставени секторските совети од Националната рамка за квалификации.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Основниот производ на системот за предвидување на вештините ќе биде годишно ажурираниот </w:t>
      </w:r>
      <w:r w:rsidRPr="00BF7955">
        <w:rPr>
          <w:rFonts w:ascii="StobiSerif Regular" w:hAnsi="StobiSerif Regular" w:cs="StobiSerif Regular"/>
          <w:i/>
          <w:iCs/>
          <w:sz w:val="22"/>
          <w:szCs w:val="22"/>
          <w:lang w:val="mk-MK"/>
        </w:rPr>
        <w:t xml:space="preserve">Прирачник за перспективни занимања </w:t>
      </w:r>
      <w:r w:rsidRPr="00BF7955">
        <w:rPr>
          <w:rFonts w:ascii="StobiSerif Regular" w:hAnsi="StobiSerif Regular" w:cs="StobiSerif Regular"/>
          <w:sz w:val="22"/>
          <w:szCs w:val="22"/>
          <w:lang w:val="mk-MK"/>
        </w:rPr>
        <w:t xml:space="preserve"> во кој што се собрани и се синтетизирани сите информации што им се потребни на младите луѓе во однос на насоките за образование и обука (МОН, Опсерваторија на вештини), профилите на работните места и побарувачката на работна сила по сектори (МТСП), како и тековно слободните работни места (АВРМ). </w:t>
      </w:r>
      <w:r w:rsidRPr="00BF7955">
        <w:rPr>
          <w:rFonts w:ascii="StobiSerif Regular" w:hAnsi="StobiSerif Regular" w:cs="StobiSerif Regular"/>
          <w:i/>
          <w:iCs/>
          <w:sz w:val="22"/>
          <w:szCs w:val="22"/>
          <w:lang w:val="mk-MK"/>
        </w:rPr>
        <w:t xml:space="preserve">Прирачникот за перспективни занимања </w:t>
      </w:r>
      <w:r w:rsidRPr="00BF7955">
        <w:rPr>
          <w:rFonts w:ascii="StobiSerif Regular" w:hAnsi="StobiSerif Regular" w:cs="StobiSerif Regular"/>
          <w:sz w:val="22"/>
          <w:szCs w:val="22"/>
          <w:lang w:val="mk-MK"/>
        </w:rPr>
        <w:t xml:space="preserve">ќе служи за дисеминација на информации на младите луѓе, нивните семејства и на пошироката јавност, како и потребните информации за осмислување на реформите на пазарот на трудот и на системот за образование и обука. </w:t>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Исход 1.1.1</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Модел за предвидување вештини – заснован врз демографски проекции, анкетни истражувања на работодавачите и слободните работни места, податоци за образованието, проекции за вработеноста и секторски студии – е дизајниран и тестиран од страна на Единицата за пазарот на трудот на Министерството за труд и социјална политика (МТСП) за обезбедување поверодостојни информации за побарувачката на работна сила и за изготвување редовни извештаи за перспективните занимања;</w:t>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Исход 1.1.2</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Базата на податоци на АВРМ во која што се евидентираат слободните работни места е ажурирана, усогласена со моделот за предвидување вештини и им обезбедува веродостојни информации на младите клиенти за работните места и занимањата за кои постои најголема побарувачка на пазарот на трудот; </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Исход 1.1.3</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Опсерваторија на вештини, развиена и раководена од страна на Министерството за образование и наука (МОН) го храни моделот за предвидување вештини со податоци за програмите за образование и учење за возрасните, поставувањето на дипломците на работни места и за трошоците на студиите;</w:t>
      </w: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br w:type="page"/>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1.1.4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Единицата за пазарот на трудот на Министерството за труд и социјална политика редовно спроведува студии (до целосното воспоставување на секторските совети од Националната рамка за квалификации) за збогатување на информациите што за побарувачката на работна сила што се достапни преку системот за предвидување вештини; </w:t>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1.1.5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Единицата за пазарот на трудот на МТСП редовно собира информации за пазарот на трудот, индустриските гранки, занимањата и вештините за кои што постои најголема побарувачка на пазарот на трудот за хранење со податоци на моделот за предвидување вештини, изготвува извештаи за перспективните занимања и врши дисеминација на добиените информации до крајните корисници (младите луѓе и нивните семејства; образовните институции и институциите на пазарот на трудот и пошироката јавност);</w:t>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1.1.6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Редовно ажурираниот извештај за перспективните занимања се дисеминира преку наменските веб страни на АВРМ, Министерството за труд и социјална политика и Опсерваторијата на вештини на МОН, и се спроведуваат заеднички кампањи за подигање на свеста од страна на МТСП и МОН;</w:t>
      </w: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1.1.7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Мрежата на младински невладини организации го користи извештајот за перспективните занимања и останатите информации што произлегуваат од моделот за предвидување вештини за изготвување информативни материјали, организирање информативни сесии, и за општо информирање на младите луѓе во врска со изборот на образованието, побарувачката на работна сила и јавните услуги што им се достапни за олеснување на нивниот премин на работа.</w:t>
      </w:r>
    </w:p>
    <w:p w:rsidR="008A3D6C" w:rsidRPr="00BF7955" w:rsidRDefault="008A3D6C" w:rsidP="00E73238">
      <w:pPr>
        <w:jc w:val="both"/>
        <w:rPr>
          <w:rFonts w:ascii="StobiSerif Regular" w:hAnsi="StobiSerif Regular" w:cs="StobiSerif Regular"/>
          <w:b/>
          <w:bCs/>
          <w:i/>
          <w:iCs/>
          <w:sz w:val="22"/>
          <w:szCs w:val="22"/>
          <w:lang w:val="mk-MK"/>
        </w:rPr>
      </w:pPr>
    </w:p>
    <w:p w:rsidR="008A3D6C" w:rsidRPr="00BF7955" w:rsidRDefault="008A3D6C" w:rsidP="00E73238">
      <w:pPr>
        <w:jc w:val="both"/>
        <w:rPr>
          <w:rFonts w:ascii="StobiSerif Regular" w:hAnsi="StobiSerif Regular" w:cs="StobiSerif Regular"/>
          <w:b/>
          <w:bCs/>
          <w:i/>
          <w:iCs/>
          <w:sz w:val="22"/>
          <w:szCs w:val="22"/>
          <w:lang w:val="mk-MK"/>
        </w:rPr>
      </w:pPr>
    </w:p>
    <w:p w:rsidR="008A3D6C" w:rsidRPr="00BF7955" w:rsidRDefault="008A3D6C" w:rsidP="00E73238">
      <w:pPr>
        <w:jc w:val="both"/>
        <w:rPr>
          <w:rFonts w:ascii="StobiSerif Regular" w:hAnsi="StobiSerif Regular" w:cs="StobiSerif Regular"/>
          <w:b/>
          <w:bCs/>
          <w:i/>
          <w:iCs/>
          <w:sz w:val="22"/>
          <w:szCs w:val="22"/>
          <w:lang w:val="mk-MK"/>
        </w:rPr>
      </w:pPr>
      <w:r w:rsidRPr="00BF7955">
        <w:rPr>
          <w:rFonts w:ascii="StobiSerif Regular" w:hAnsi="StobiSerif Regular" w:cs="StobiSerif Regular"/>
          <w:b/>
          <w:bCs/>
          <w:i/>
          <w:iCs/>
          <w:sz w:val="22"/>
          <w:szCs w:val="22"/>
          <w:lang w:val="mk-MK"/>
        </w:rPr>
        <w:t xml:space="preserve">Исход 1.2 </w:t>
      </w:r>
      <w:r w:rsidRPr="00BF7955">
        <w:rPr>
          <w:rFonts w:ascii="StobiSerif Regular" w:hAnsi="StobiSerif Regular" w:cs="StobiSerif Regular"/>
          <w:sz w:val="22"/>
          <w:szCs w:val="22"/>
          <w:lang w:val="mk-MK"/>
        </w:rPr>
        <w:t xml:space="preserve">– </w:t>
      </w:r>
      <w:r w:rsidRPr="00BF7955">
        <w:rPr>
          <w:rFonts w:ascii="StobiSerif Regular" w:hAnsi="StobiSerif Regular" w:cs="StobiSerif Regular"/>
          <w:b/>
          <w:bCs/>
          <w:i/>
          <w:iCs/>
          <w:sz w:val="22"/>
          <w:szCs w:val="22"/>
          <w:lang w:val="mk-MK"/>
        </w:rPr>
        <w:t xml:space="preserve">Образовните исходи на младите македонски граѓани се подобруваат со текот на времето и соодветствуваат на барањата на пазарот на трудот </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85 проценти од младите лица (15-29) со високо образование се вработени на места што се соодветни за нивните квалификации;</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Усогласување на резултатите на студентите од Македонија на меѓународните тестирања PISA и TIMMS со меѓународниот просек;</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Помалку од 10 проценти од младите лица (15-24) го напуштаат образовниот систем со најмногу тригодишно средно образование;</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30 проценти од универзитетските студенти се запишани на природонаучни, математички, компјутерски, технички, производни и градежни насоки;</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Најмалку 5 проценти од младите лица во работната сила што имаат само основно образование посетуваат програми за обука на годишно ниво со што добиваат квалификации што се признаени на пазарот на трудот (ISCED 3);</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 xml:space="preserve">Најмалку 8 проценти од претпријатијата што се анкетирани во рамките на </w:t>
      </w:r>
      <w:r w:rsidRPr="00BF7955">
        <w:rPr>
          <w:rFonts w:ascii="StobiSerif Regular" w:hAnsi="StobiSerif Regular" w:cs="StobiSerif Regular"/>
          <w:i/>
          <w:iCs/>
          <w:lang w:val="mk-MK"/>
        </w:rPr>
        <w:t xml:space="preserve">Светскиот извештај за конкурентност </w:t>
      </w:r>
      <w:r w:rsidRPr="00BF7955">
        <w:rPr>
          <w:rFonts w:ascii="StobiSerif Regular" w:hAnsi="StobiSerif Regular" w:cs="StobiSerif Regular"/>
          <w:lang w:val="mk-MK"/>
        </w:rPr>
        <w:t>упатуваат на образованието на работната сила како најпроблематичен фактор за водење бизнис.</w:t>
      </w:r>
    </w:p>
    <w:p w:rsidR="008A3D6C" w:rsidRPr="00BF7955" w:rsidRDefault="008A3D6C" w:rsidP="00E73238">
      <w:pPr>
        <w:pStyle w:val="Paragrafoelenco1"/>
        <w:jc w:val="both"/>
        <w:rPr>
          <w:rFonts w:ascii="StobiSerif Regular" w:hAnsi="StobiSerif Regular" w:cs="StobiSerif Regular"/>
          <w:lang w:val="mk-MK"/>
        </w:rPr>
      </w:pPr>
    </w:p>
    <w:p w:rsidR="008A3D6C" w:rsidRPr="00BF7955" w:rsidRDefault="008A3D6C" w:rsidP="00E73238">
      <w:pPr>
        <w:jc w:val="both"/>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Почетна состојба: </w:t>
      </w:r>
      <w:r w:rsidRPr="00BF7955">
        <w:rPr>
          <w:rFonts w:ascii="StobiSerif Regular" w:hAnsi="StobiSerif Regular" w:cs="StobiSerif Regular"/>
          <w:color w:val="000000"/>
          <w:sz w:val="22"/>
          <w:szCs w:val="22"/>
          <w:lang w:val="mk-MK"/>
        </w:rPr>
        <w:t xml:space="preserve">Во 2014 година приближно 67,5 проценти од сите млади (15-29) работници со завршено високо образование биле вработени на занимања што се соодветни на нивните квалификации (т.е., малку повеќе од 20.600 млади работници). </w:t>
      </w:r>
      <w:r w:rsidRPr="00BF7955">
        <w:rPr>
          <w:rFonts w:ascii="StobiSerif Regular" w:hAnsi="StobiSerif Regular" w:cs="StobiSerif Regular"/>
          <w:b/>
          <w:bCs/>
          <w:color w:val="0070C0"/>
          <w:sz w:val="22"/>
          <w:szCs w:val="22"/>
          <w:lang w:val="mk-MK"/>
        </w:rPr>
        <w:t xml:space="preserve"> </w:t>
      </w:r>
    </w:p>
    <w:p w:rsidR="008A3D6C" w:rsidRPr="00BF7955" w:rsidRDefault="008A3D6C" w:rsidP="00E73238">
      <w:pPr>
        <w:jc w:val="both"/>
        <w:rPr>
          <w:rStyle w:val="tgc"/>
          <w:rFonts w:ascii="StobiSerif Regular" w:hAnsi="StobiSerif Regular" w:cs="StobiSerif Regular"/>
          <w:sz w:val="22"/>
          <w:szCs w:val="22"/>
          <w:lang w:val="mk-MK"/>
        </w:rPr>
      </w:pPr>
      <w:r w:rsidRPr="00BF7955">
        <w:rPr>
          <w:rFonts w:ascii="StobiSerif Regular" w:hAnsi="StobiSerif Regular" w:cs="StobiSerif Regular"/>
          <w:color w:val="000000"/>
          <w:sz w:val="22"/>
          <w:szCs w:val="22"/>
          <w:lang w:val="mk-MK"/>
        </w:rPr>
        <w:t>Во 2015 година земјата по вторпат учествуваше во Програмата за меѓународно оценување на учениците (PISA), но резултатите сè уште не беа достапни во времето на изготвувањето на овој Акциски план. Просечниот број на поени за читање во оценувањето што беше спроведено во 2000 година беше 373; математичката писменост доби 381 поени а научната писменост доби 401 поен, во споредба со меѓународниот просек од 500 поени. Земјата учествуваше во циклусите на Трендовите во меѓународното изучување на математиката и природните науки (TIMSS) во 1999, 2003 и 2011 година.</w:t>
      </w:r>
      <w:r w:rsidRPr="00BF7955">
        <w:rPr>
          <w:rStyle w:val="tgc"/>
          <w:rFonts w:ascii="StobiSerif Regular" w:hAnsi="StobiSerif Regular" w:cs="StobiSerif Regular"/>
          <w:sz w:val="22"/>
          <w:szCs w:val="22"/>
          <w:lang w:val="mk-MK"/>
        </w:rPr>
        <w:t xml:space="preserve"> </w:t>
      </w:r>
      <w:r w:rsidRPr="00BF7955">
        <w:rPr>
          <w:rFonts w:ascii="StobiSerif Regular" w:hAnsi="StobiSerif Regular" w:cs="StobiSerif Regular"/>
          <w:sz w:val="22"/>
          <w:szCs w:val="22"/>
          <w:lang w:val="mk-MK"/>
        </w:rPr>
        <w:t>Во 2003 година учениците од Македонија беа оценети со 445 поени, додека, пак, во 2011 година нивните резултати всушност беа полоши (просечната оцена беше 398).</w:t>
      </w:r>
      <w:r w:rsidRPr="00BF7955">
        <w:rPr>
          <w:rStyle w:val="tgc"/>
          <w:rFonts w:ascii="StobiSerif Regular" w:hAnsi="StobiSerif Regular" w:cs="StobiSerif Regular"/>
          <w:sz w:val="22"/>
          <w:szCs w:val="22"/>
          <w:lang w:val="mk-MK"/>
        </w:rPr>
        <w:t xml:space="preserve"> </w:t>
      </w:r>
      <w:r w:rsidRPr="00BF7955">
        <w:rPr>
          <w:rFonts w:ascii="StobiSerif Regular" w:hAnsi="StobiSerif Regular" w:cs="StobiSerif Regular"/>
          <w:sz w:val="22"/>
          <w:szCs w:val="22"/>
          <w:lang w:val="mk-MK"/>
        </w:rPr>
        <w:t>Ова укажува дека квалитетот на образовните исходи за учениците треба да биде значително подобрен.</w:t>
      </w:r>
      <w:r w:rsidRPr="00BF7955">
        <w:rPr>
          <w:rStyle w:val="tgc"/>
          <w:rFonts w:ascii="StobiSerif Regular" w:hAnsi="StobiSerif Regular" w:cs="StobiSerif Regular"/>
          <w:sz w:val="22"/>
          <w:szCs w:val="22"/>
          <w:lang w:val="mk-MK"/>
        </w:rPr>
        <w:t xml:space="preserve"> </w:t>
      </w:r>
    </w:p>
    <w:p w:rsidR="008A3D6C" w:rsidRPr="00BF7955" w:rsidRDefault="008A3D6C" w:rsidP="00E73238">
      <w:pPr>
        <w:jc w:val="both"/>
        <w:rPr>
          <w:rStyle w:val="Strong"/>
          <w:rFonts w:ascii="StobiSerif Regular" w:hAnsi="StobiSerif Regular" w:cs="StobiSerif Regular"/>
          <w:b w:val="0"/>
          <w:bCs w:val="0"/>
          <w:sz w:val="22"/>
          <w:szCs w:val="22"/>
          <w:lang w:val="mk-MK"/>
        </w:rPr>
      </w:pPr>
      <w:r w:rsidRPr="00BF7955">
        <w:rPr>
          <w:rFonts w:ascii="StobiSerif Regular" w:hAnsi="StobiSerif Regular" w:cs="StobiSerif Regular"/>
          <w:sz w:val="22"/>
          <w:szCs w:val="22"/>
          <w:lang w:val="mk-MK"/>
        </w:rPr>
        <w:t xml:space="preserve">Во 2014 година уделот на младите </w:t>
      </w:r>
      <w:r w:rsidRPr="00BF7955">
        <w:rPr>
          <w:rStyle w:val="tgc"/>
          <w:rFonts w:ascii="StobiSerif Regular" w:hAnsi="StobiSerif Regular" w:cs="StobiSerif Regular"/>
          <w:sz w:val="22"/>
          <w:szCs w:val="22"/>
          <w:lang w:val="mk-MK"/>
        </w:rPr>
        <w:t xml:space="preserve">(15-24) со најмногу тригодишно средно образование беше </w:t>
      </w:r>
      <w:r w:rsidRPr="00BF7955">
        <w:rPr>
          <w:rFonts w:ascii="StobiSerif Regular" w:hAnsi="StobiSerif Regular" w:cs="StobiSerif Regular"/>
          <w:sz w:val="22"/>
          <w:szCs w:val="22"/>
          <w:lang w:val="mk-MK"/>
        </w:rPr>
        <w:t xml:space="preserve">12,5 проценти, што сè уште е повисоко од зацртаната цел од 10 проценти од ЕУ 2020. Во истата година, уделот на </w:t>
      </w:r>
      <w:r w:rsidRPr="00BF7955">
        <w:rPr>
          <w:rFonts w:ascii="StobiSerif Regular" w:hAnsi="StobiSerif Regular" w:cs="StobiSerif Regular"/>
          <w:b/>
          <w:bCs/>
          <w:sz w:val="22"/>
          <w:szCs w:val="22"/>
          <w:lang w:val="mk-MK"/>
        </w:rPr>
        <w:t xml:space="preserve">лицата на возраст од 30 до 34 години што завршиле високо образование беше </w:t>
      </w:r>
      <w:r w:rsidRPr="00BF7955">
        <w:rPr>
          <w:rStyle w:val="Strong"/>
          <w:rFonts w:ascii="StobiSerif Regular" w:hAnsi="StobiSerif Regular" w:cs="StobiSerif Regular"/>
          <w:sz w:val="22"/>
          <w:szCs w:val="22"/>
          <w:lang w:val="mk-MK"/>
        </w:rPr>
        <w:t xml:space="preserve">24,9 проценти (наспроти ЕУ целта од 40 проценти). </w:t>
      </w:r>
      <w:r w:rsidRPr="00BF7955">
        <w:rPr>
          <w:rFonts w:ascii="StobiSerif Regular" w:hAnsi="StobiSerif Regular" w:cs="StobiSerif Regular"/>
          <w:b/>
          <w:bCs/>
          <w:sz w:val="22"/>
          <w:szCs w:val="22"/>
          <w:lang w:val="mk-MK"/>
        </w:rPr>
        <w:t xml:space="preserve">Во учебната година </w:t>
      </w:r>
      <w:r w:rsidRPr="00BF7955">
        <w:rPr>
          <w:rStyle w:val="Strong"/>
          <w:rFonts w:ascii="StobiSerif Regular" w:hAnsi="StobiSerif Regular" w:cs="StobiSerif Regular"/>
          <w:sz w:val="22"/>
          <w:szCs w:val="22"/>
          <w:lang w:val="mk-MK"/>
        </w:rPr>
        <w:t xml:space="preserve">2013/14, бројот на студентите што се запишале на државниот универзитет </w:t>
      </w:r>
      <w:r w:rsidRPr="00BF7955">
        <w:rPr>
          <w:rStyle w:val="Strong"/>
          <w:rFonts w:ascii="StobiSerif Regular" w:hAnsi="StobiSerif Regular" w:cs="StobiSerif Regular"/>
          <w:b w:val="0"/>
          <w:bCs w:val="0"/>
          <w:sz w:val="22"/>
          <w:szCs w:val="22"/>
          <w:lang w:val="mk-MK"/>
        </w:rPr>
        <w:t>на природонаучни, математички, компјутерски, технички, производни и градежни насоки претставувал 27 проценти од вкупниот број на универзитетски студенти.</w:t>
      </w:r>
      <w:r w:rsidRPr="00BF7955">
        <w:rPr>
          <w:rFonts w:ascii="StobiSerif Regular" w:hAnsi="StobiSerif Regular" w:cs="StobiSerif Regular"/>
          <w:sz w:val="22"/>
          <w:szCs w:val="22"/>
          <w:lang w:val="mk-MK"/>
        </w:rPr>
        <w:t xml:space="preserve"> </w:t>
      </w:r>
    </w:p>
    <w:p w:rsidR="008A3D6C" w:rsidRPr="00BF7955" w:rsidRDefault="008A3D6C" w:rsidP="00E73238">
      <w:pPr>
        <w:jc w:val="both"/>
        <w:rPr>
          <w:rFonts w:ascii="StobiSerif Regular" w:hAnsi="StobiSerif Regular" w:cs="StobiSerif Regular"/>
          <w:b/>
          <w:bCs/>
          <w:color w:val="000000"/>
          <w:sz w:val="22"/>
          <w:szCs w:val="22"/>
          <w:lang w:val="mk-MK"/>
        </w:rPr>
      </w:pPr>
      <w:r w:rsidRPr="00BF7955">
        <w:rPr>
          <w:rFonts w:ascii="StobiSerif Regular" w:hAnsi="StobiSerif Regular" w:cs="StobiSerif Regular"/>
          <w:b/>
          <w:bCs/>
          <w:sz w:val="22"/>
          <w:szCs w:val="22"/>
          <w:lang w:val="mk-MK"/>
        </w:rPr>
        <w:t xml:space="preserve">Во 2014 година бројот на младите лица </w:t>
      </w:r>
      <w:r w:rsidRPr="00BF7955">
        <w:rPr>
          <w:rStyle w:val="Strong"/>
          <w:rFonts w:ascii="StobiSerif Regular" w:hAnsi="StobiSerif Regular" w:cs="StobiSerif Regular"/>
          <w:sz w:val="22"/>
          <w:szCs w:val="22"/>
          <w:lang w:val="mk-MK"/>
        </w:rPr>
        <w:t xml:space="preserve">(15-29) во работната сила што имале само основно образование изнесувал вкупно 36.900 лица (16 проценти од младите лица во работната сила). </w:t>
      </w:r>
      <w:r w:rsidRPr="00BF7955">
        <w:rPr>
          <w:rFonts w:ascii="StobiSerif Regular" w:hAnsi="StobiSerif Regular" w:cs="StobiSerif Regular"/>
          <w:b/>
          <w:bCs/>
          <w:sz w:val="22"/>
          <w:szCs w:val="22"/>
          <w:lang w:val="mk-MK"/>
        </w:rPr>
        <w:t>ISCED 3 проектот е иницијатива на МОН за подобрување на можностите за вработување на младите лица и има за цел да понуди краткорочни програми за обука што ќе доведат до квалификации што се признаени на пазарот на трудот.</w:t>
      </w:r>
      <w:r w:rsidRPr="00BF7955">
        <w:rPr>
          <w:rStyle w:val="Strong"/>
          <w:rFonts w:ascii="StobiSerif Regular" w:hAnsi="StobiSerif Regular" w:cs="StobiSerif Regular"/>
          <w:sz w:val="22"/>
          <w:szCs w:val="22"/>
          <w:lang w:val="mk-MK"/>
        </w:rPr>
        <w:t xml:space="preserve"> </w:t>
      </w:r>
      <w:r w:rsidRPr="00BF7955">
        <w:rPr>
          <w:rFonts w:ascii="StobiSerif Regular" w:hAnsi="StobiSerif Regular" w:cs="StobiSerif Regular"/>
          <w:b/>
          <w:bCs/>
          <w:sz w:val="22"/>
          <w:szCs w:val="22"/>
          <w:lang w:val="mk-MK"/>
        </w:rPr>
        <w:t>Бидејќи проектот сè уште не е започната, почетната состојба е нула.</w:t>
      </w:r>
      <w:r w:rsidRPr="00BF7955">
        <w:rPr>
          <w:rStyle w:val="Strong"/>
          <w:rFonts w:ascii="StobiSerif Regular" w:hAnsi="StobiSerif Regular" w:cs="StobiSerif Regular"/>
          <w:sz w:val="22"/>
          <w:szCs w:val="22"/>
          <w:lang w:val="mk-MK"/>
        </w:rPr>
        <w:t xml:space="preserve"> </w:t>
      </w:r>
    </w:p>
    <w:p w:rsidR="008A3D6C" w:rsidRPr="00BF7955" w:rsidRDefault="008A3D6C" w:rsidP="00E73238">
      <w:pPr>
        <w:jc w:val="both"/>
        <w:rPr>
          <w:rStyle w:val="Strong"/>
          <w:rFonts w:ascii="StobiSerif Regular" w:hAnsi="StobiSerif Regular" w:cs="StobiSerif Regular"/>
          <w:b w:val="0"/>
          <w:bCs w:val="0"/>
          <w:sz w:val="22"/>
          <w:szCs w:val="22"/>
          <w:lang w:val="mk-MK"/>
        </w:rPr>
      </w:pPr>
      <w:r w:rsidRPr="00BF7955">
        <w:rPr>
          <w:rFonts w:ascii="StobiSerif Regular" w:hAnsi="StobiSerif Regular" w:cs="StobiSerif Regular"/>
          <w:b/>
          <w:bCs/>
          <w:i/>
          <w:iCs/>
          <w:sz w:val="22"/>
          <w:szCs w:val="22"/>
          <w:lang w:val="mk-MK"/>
        </w:rPr>
        <w:t xml:space="preserve">Светскиот извештај за конкурентност </w:t>
      </w:r>
      <w:r w:rsidRPr="00BF7955">
        <w:rPr>
          <w:rStyle w:val="Strong"/>
          <w:rFonts w:ascii="StobiSerif Regular" w:hAnsi="StobiSerif Regular" w:cs="StobiSerif Regular"/>
          <w:i/>
          <w:iCs/>
          <w:sz w:val="22"/>
          <w:szCs w:val="22"/>
          <w:lang w:val="mk-MK"/>
        </w:rPr>
        <w:t>2014/2015</w:t>
      </w:r>
      <w:r w:rsidRPr="00BF7955">
        <w:rPr>
          <w:rStyle w:val="Strong"/>
          <w:rFonts w:ascii="StobiSerif Regular" w:hAnsi="StobiSerif Regular" w:cs="StobiSerif Regular"/>
          <w:sz w:val="22"/>
          <w:szCs w:val="22"/>
          <w:lang w:val="mk-MK"/>
        </w:rPr>
        <w:t xml:space="preserve"> наведува дека приближно 11 проценти од македонските претпријатија сметаат дека ниското образовно ниво на работната сила претставува пречка за водење бизнис, што бележи малу опаѓачки тренд во споредба со претходната година (12 проценти).  </w:t>
      </w:r>
    </w:p>
    <w:p w:rsidR="008A3D6C" w:rsidRPr="00BF7955" w:rsidRDefault="008A3D6C" w:rsidP="00E73238">
      <w:pPr>
        <w:jc w:val="both"/>
        <w:rPr>
          <w:rStyle w:val="Strong"/>
          <w:rFonts w:ascii="StobiSerif Regular" w:hAnsi="StobiSerif Regular" w:cs="StobiSerif Regular"/>
          <w:b w:val="0"/>
          <w:bCs w:val="0"/>
          <w:sz w:val="22"/>
          <w:szCs w:val="22"/>
          <w:lang w:val="mk-MK"/>
        </w:rPr>
      </w:pPr>
      <w:r w:rsidRPr="00BF7955">
        <w:rPr>
          <w:rFonts w:ascii="StobiSerif Regular" w:hAnsi="StobiSerif Regular" w:cs="StobiSerif Regular"/>
          <w:b/>
          <w:bCs/>
          <w:sz w:val="22"/>
          <w:szCs w:val="22"/>
          <w:lang w:val="mk-MK"/>
        </w:rPr>
        <w:t>Во овој контекст, овој исход на политиката е насочен кон подобрување на квалитетот и релевантноста на образовните исходи, што треба да се докаже преку меѓународните тестирања и студии за следење; обезбедување стимулации за учениците да се запишуваат на насоки што се дефицитарни на пазарот на трудот; нудење индивидуализирана поддршка на учениците под ризик од прерано напуштање на образованието; и проширување на опфатот на понудата на курсевите за образование на возрасните за оние млади што пропуштиле да се стекнат со квалификации на училиште.</w:t>
      </w:r>
      <w:r w:rsidRPr="00BF7955">
        <w:rPr>
          <w:rStyle w:val="Strong"/>
          <w:rFonts w:ascii="StobiSerif Regular" w:hAnsi="StobiSerif Regular" w:cs="StobiSerif Regular"/>
          <w:sz w:val="22"/>
          <w:szCs w:val="22"/>
          <w:lang w:val="mk-MK"/>
        </w:rPr>
        <w:t xml:space="preserve"> </w:t>
      </w:r>
    </w:p>
    <w:p w:rsidR="008A3D6C" w:rsidRPr="00BF7955" w:rsidRDefault="008A3D6C" w:rsidP="00E73238">
      <w:pPr>
        <w:jc w:val="both"/>
        <w:rPr>
          <w:rStyle w:val="Strong"/>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1.2.1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Системот за образование и обука го усогласува обезбедувањето на своите услуги со наодите на системот за предвидување вештини;</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1.2.2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Учениците од Македонија редовно учествуваат во меѓународните програми за оценување (PISA и TIMSS) и нивните резултати обезбедуваат информации за реформите на образованието за подобрување на когнитивните и некогнитивните вештини;</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Исход 1.2.3</w:t>
      </w:r>
    </w:p>
    <w:p w:rsidR="008A3D6C" w:rsidRPr="00BF7955" w:rsidRDefault="008A3D6C" w:rsidP="00E73238">
      <w:pPr>
        <w:pStyle w:val="Default"/>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Системот за стипендирање на МОН е проширен за да се обезбедат стимулации за младите луѓе (на ниво на средно и високо образование) да се запишуваат на насоките за кои што се предвидува дека ќе бидат дефицитарни на пазарот на трудот;</w:t>
      </w:r>
    </w:p>
    <w:p w:rsidR="008A3D6C" w:rsidRDefault="008A3D6C">
      <w:pPr>
        <w:rPr>
          <w:rFonts w:ascii="StobiSerif Regular" w:hAnsi="StobiSerif Regular" w:cs="StobiSerif Regular"/>
          <w:i/>
          <w:iCs/>
          <w:sz w:val="22"/>
          <w:szCs w:val="22"/>
          <w:lang w:val="mk-MK"/>
        </w:rPr>
      </w:pPr>
      <w:r>
        <w:rPr>
          <w:rFonts w:ascii="StobiSerif Regular" w:hAnsi="StobiSerif Regular" w:cs="StobiSerif Regular"/>
          <w:i/>
          <w:iCs/>
          <w:sz w:val="22"/>
          <w:szCs w:val="22"/>
          <w:lang w:val="mk-MK"/>
        </w:rPr>
        <w:br w:type="page"/>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Исход 1.2.4</w:t>
      </w:r>
    </w:p>
    <w:p w:rsidR="008A3D6C"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Редовно се спроведуваат студии за следење – како дел од активностите на Опсерваторијата на вештини – на лицата што завршиле средно и високо образование за да се потврди усогласеноста на образовните исходи со потребите на пазарот на трудот; </w:t>
      </w:r>
    </w:p>
    <w:p w:rsidR="008A3D6C" w:rsidRDefault="008A3D6C" w:rsidP="00E73238">
      <w:pPr>
        <w:jc w:val="both"/>
        <w:rPr>
          <w:rFonts w:ascii="StobiSerif Regular" w:hAnsi="StobiSerif Regular" w:cs="StobiSerif Regular"/>
          <w:sz w:val="22"/>
          <w:szCs w:val="22"/>
          <w:lang w:val="mk-MK"/>
        </w:rPr>
      </w:pPr>
    </w:p>
    <w:p w:rsidR="008A3D6C" w:rsidRPr="000E5003"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i/>
          <w:iCs/>
          <w:sz w:val="22"/>
          <w:szCs w:val="22"/>
          <w:lang w:val="mk-MK"/>
        </w:rPr>
        <w:t xml:space="preserve">Исход 1.2.5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Системот за идентификација на ризикот од предвремено напуштање на образованието е достапен во целата земја и води кон интензивна и индивидуализирана поддршка за останување на училиште и стекнување квалификации;</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Исход 1.2.6</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ISCED 3 проектот на МОН им обезбедува на младите лица без квалификации краткорочни програми за обука за да стекнат квалификации што се бараат на пазарот на трудот.</w:t>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b/>
          <w:bCs/>
          <w:i/>
          <w:iCs/>
          <w:sz w:val="22"/>
          <w:szCs w:val="22"/>
          <w:lang w:val="mk-MK"/>
        </w:rPr>
      </w:pPr>
      <w:r w:rsidRPr="00BF7955">
        <w:rPr>
          <w:rFonts w:ascii="StobiSerif Regular" w:hAnsi="StobiSerif Regular" w:cs="StobiSerif Regular"/>
          <w:b/>
          <w:bCs/>
          <w:i/>
          <w:iCs/>
          <w:sz w:val="22"/>
          <w:szCs w:val="22"/>
          <w:lang w:val="mk-MK"/>
        </w:rPr>
        <w:t xml:space="preserve">Исход 1.3 </w:t>
      </w:r>
      <w:r w:rsidRPr="00BF7955">
        <w:rPr>
          <w:rFonts w:ascii="StobiSerif Regular" w:hAnsi="StobiSerif Regular" w:cs="StobiSerif Regular"/>
          <w:sz w:val="22"/>
          <w:szCs w:val="22"/>
          <w:lang w:val="mk-MK"/>
        </w:rPr>
        <w:t xml:space="preserve">– </w:t>
      </w:r>
      <w:r w:rsidRPr="00BF7955">
        <w:rPr>
          <w:rFonts w:ascii="StobiSerif Regular" w:hAnsi="StobiSerif Regular" w:cs="StobiSerif Regular"/>
          <w:b/>
          <w:bCs/>
          <w:i/>
          <w:iCs/>
          <w:sz w:val="22"/>
          <w:szCs w:val="22"/>
          <w:lang w:val="mk-MK"/>
        </w:rPr>
        <w:t>Младите луѓе имаат пристап до квалитетна настава и услуги за кариерно насочување</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До 2020 година, сите ученици и студенти во Македонија добиваат настава за кариерно насочување во последната година од основното образование и во целиот тек на средното и високото образование.</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Сите млади лица што се пријавени во Агенцијата за вработување имаат пристап до квалитетни информации за пазарот на трудот;</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Сите млади лица кои првпат се пријавуваат во АВРМ добиваат групни услуги за кариерно насочување и советување за вработување (кратка обука за подготовка за вработување).</w:t>
      </w:r>
    </w:p>
    <w:p w:rsidR="008A3D6C" w:rsidRPr="00BF7955" w:rsidRDefault="008A3D6C" w:rsidP="00E73238">
      <w:pPr>
        <w:jc w:val="both"/>
        <w:rPr>
          <w:rFonts w:ascii="StobiSerif Regular" w:hAnsi="StobiSerif Regular" w:cs="StobiSerif Regular"/>
          <w:b/>
          <w:bCs/>
          <w:color w:val="0070C0"/>
          <w:sz w:val="22"/>
          <w:szCs w:val="22"/>
          <w:lang w:val="mk-MK"/>
        </w:rPr>
      </w:pP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b/>
          <w:bCs/>
          <w:color w:val="0070C0"/>
          <w:sz w:val="22"/>
          <w:szCs w:val="22"/>
          <w:lang w:val="mk-MK"/>
        </w:rPr>
        <w:t xml:space="preserve">Почетна состојба: </w:t>
      </w:r>
      <w:r w:rsidRPr="00BF7955">
        <w:rPr>
          <w:rFonts w:ascii="StobiSerif Regular" w:hAnsi="StobiSerif Regular" w:cs="StobiSerif Regular"/>
          <w:sz w:val="22"/>
          <w:szCs w:val="22"/>
          <w:lang w:val="mk-MK"/>
        </w:rPr>
        <w:t xml:space="preserve">Во 2014 година, приближно 50 општи средни училишта нуделе настава за кариерно насочување како изборен предмет (со приближно 4.000 што ја посетувале наставата), додека, пак, 36.000 ученици во средните училишта за стручно образование имале пристап до услугите на центрите за кариерен развој. Наставата за кариерно насочување во средните училишта, сепак, сè уште се нуди врз основа на проекти и не е интегрирана во наставната програма. Покрај тоа, овие услуги не ги опфаќаат учениците во последната година на основното образование, кога треба да се направи избор што треба да се следи.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На крајот на 2014 година приближно 30.600 млади лица (15-29) биле пријавени во Агенцијата за вработување на Република Македонија. Информациите за пазарот на трудот им се обезбедуваат на сите пријавени невработени лица преку веб страната на АВРМ и лично, во текот на изготвувањето на индивидуалниот план за вработување (ИПВ). Меѓутоа, информациите за слободните работни места не се целосно точни, бидејќи од работодавачите се бара да ги огласуваат и продолжувањата на договорите за привремена работа и работните места за кои што веќе има пријавено кандидати. Во 2014 година бројот на младите лица (15-29) што учествувале во структурирани активности за информирање за пазарот на трудот, помош при барање работа и кариерно насочување изнесувал 2.950 лица (9,6 проценти од вкупниот број на пријавени невработени млади лица), додека, пак, месечните приливи изнесувале приближно 2.700 млади лица. Оттаму, овој исход има за цел да го подобри квалитетот на услугите за кариерно насочување што им се обезбедуваат на младите луѓе во клучните моменти во нивниот училиштен и работен живот. Наставните програми за образованието за кариерно насочување што треба да се изготват од страна на МОН ќе вклучуваат и модули за правата на работното место што ќе се изготват во соработка со Државниот инспекторат за труд. </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1.3.1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Квалитетни услуги за образование за кариерно насочување – што се засноваат врз системот за предвидуваше вештини и вклучуваат модули за правата на работното место – им се обезбедуваат на учениците и студентите од сите нивоа на образовниот систем (на крајот на задолжителното образование, во текот на средното образование и во високото образование) како дел од наставната програма на државно ниво;</w:t>
      </w:r>
    </w:p>
    <w:p w:rsidR="008A3D6C" w:rsidRPr="00BF7955" w:rsidRDefault="008A3D6C" w:rsidP="00E73238">
      <w:pPr>
        <w:jc w:val="both"/>
        <w:rPr>
          <w:rFonts w:ascii="StobiSerif Regular" w:hAnsi="StobiSerif Regular" w:cs="StobiSerif Regular"/>
          <w:i/>
          <w:iCs/>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1.3.2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Веродостојни и ажурирани информации за пазарот на трудот – засновани врз системот за предвидување вештини – им се обезбедуваат на сите млади лица што се пријавени како невработени во локалните центри за вработување.</w:t>
      </w:r>
    </w:p>
    <w:p w:rsidR="008A3D6C" w:rsidRPr="00BF7955" w:rsidRDefault="008A3D6C" w:rsidP="00E73238">
      <w:pPr>
        <w:jc w:val="both"/>
        <w:rPr>
          <w:rFonts w:ascii="StobiSerif Regular" w:hAnsi="StobiSerif Regular" w:cs="StobiSerif Regular"/>
          <w:b/>
          <w:bCs/>
          <w:i/>
          <w:iCs/>
          <w:color w:val="0070C0"/>
          <w:sz w:val="22"/>
          <w:szCs w:val="22"/>
          <w:lang w:val="mk-MK"/>
        </w:rPr>
      </w:pPr>
    </w:p>
    <w:p w:rsidR="008A3D6C" w:rsidRPr="00BF7955" w:rsidRDefault="008A3D6C" w:rsidP="00E73238">
      <w:pPr>
        <w:jc w:val="both"/>
        <w:rPr>
          <w:rFonts w:ascii="StobiSerif Regular" w:hAnsi="StobiSerif Regular" w:cs="StobiSerif Regular"/>
          <w:i/>
          <w:iCs/>
          <w:sz w:val="22"/>
          <w:szCs w:val="22"/>
          <w:lang w:val="mk-MK"/>
        </w:rPr>
      </w:pPr>
      <w:r w:rsidRPr="00BF7955">
        <w:rPr>
          <w:rFonts w:ascii="StobiSerif Regular" w:hAnsi="StobiSerif Regular" w:cs="StobiSerif Regular"/>
          <w:i/>
          <w:iCs/>
          <w:sz w:val="22"/>
          <w:szCs w:val="22"/>
          <w:lang w:val="mk-MK"/>
        </w:rPr>
        <w:t xml:space="preserve">Исход 1.3.3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Сите млади невработени лица што првпат се пријавуваат во АВРМ добиваат услуги за кариерно насочување и советување за вработување за подобрување на нивните капацитети за снаоѓање на пазарот на трудот.</w:t>
      </w:r>
    </w:p>
    <w:p w:rsidR="008A3D6C" w:rsidRDefault="008A3D6C">
      <w:pPr>
        <w:rPr>
          <w:rFonts w:ascii="StobiSerif Regular" w:hAnsi="StobiSerif Regular" w:cs="StobiSerif Regular"/>
          <w:sz w:val="22"/>
          <w:szCs w:val="22"/>
          <w:lang w:val="mk-MK"/>
        </w:rPr>
      </w:pPr>
      <w:r>
        <w:rPr>
          <w:rFonts w:ascii="StobiSerif Regular" w:hAnsi="StobiSerif Regular" w:cs="StobiSerif Regular"/>
          <w:sz w:val="22"/>
          <w:szCs w:val="22"/>
          <w:lang w:val="mk-MK"/>
        </w:rPr>
        <w:br w:type="page"/>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pStyle w:val="Paragrafoelenco1"/>
        <w:jc w:val="both"/>
        <w:rPr>
          <w:rFonts w:ascii="StobiSerif Regular" w:hAnsi="StobiSerif Regular" w:cs="StobiSerif Regular"/>
          <w:b/>
          <w:bCs/>
          <w:i/>
          <w:iCs/>
          <w:color w:val="0070C0"/>
          <w:lang w:val="mk-MK"/>
        </w:rPr>
      </w:pPr>
      <w:r w:rsidRPr="00BF7955">
        <w:rPr>
          <w:rFonts w:ascii="StobiSerif Regular" w:hAnsi="StobiSerif Regular" w:cs="StobiSerif Regular"/>
          <w:b/>
          <w:bCs/>
          <w:i/>
          <w:iCs/>
          <w:color w:val="0070C0"/>
          <w:lang w:val="mk-MK"/>
        </w:rPr>
        <w:t xml:space="preserve">3.2 Промовирање на отворањето (формални) работни места предводено од приватниот сектор </w:t>
      </w:r>
    </w:p>
    <w:p w:rsidR="008A3D6C" w:rsidRPr="00BF7955" w:rsidRDefault="008A3D6C" w:rsidP="00E73238">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Постигнувањето на оваа цел се потпира врз само еден исход, имено, воспоставувањето на пакет од стимулации за подобрување на капацитетот на претпријатијата од приватниот сектор за отворање работни места за младите лица. Овој исход користи низа постоечки и планирани иницијативи на Владата за подобрување на деловната клима, поттикнување на иновативноста и зголемување на пристапот до кредити за малите и средните претпријатија (што треба да се мери преку подобрувањето на позицијата на земјата на </w:t>
      </w:r>
      <w:r w:rsidRPr="00BF7955">
        <w:rPr>
          <w:rFonts w:ascii="StobiSerif Regular" w:hAnsi="StobiSerif Regular" w:cs="StobiSerif Regular"/>
          <w:i/>
          <w:iCs/>
          <w:sz w:val="22"/>
          <w:szCs w:val="22"/>
          <w:lang w:val="mk-MK"/>
        </w:rPr>
        <w:t>Светскиот индекс за конкурентноста</w:t>
      </w:r>
      <w:r w:rsidRPr="00BF7955">
        <w:rPr>
          <w:rFonts w:ascii="StobiSerif Regular" w:hAnsi="StobiSerif Regular" w:cs="StobiSerif Regular"/>
          <w:sz w:val="22"/>
          <w:szCs w:val="22"/>
          <w:lang w:val="mk-MK"/>
        </w:rPr>
        <w:t>). Овој исход, исто така, се потпира врз проценетиот мултипликатор на вработеноста што треба да се реализира преку програмата за јавни инвестиции за подобрување на сообраќајната и енергетската мрежа.</w:t>
      </w:r>
    </w:p>
    <w:p w:rsidR="008A3D6C" w:rsidRPr="00BF7955" w:rsidRDefault="008A3D6C" w:rsidP="00E73238">
      <w:pPr>
        <w:jc w:val="both"/>
        <w:rPr>
          <w:rFonts w:ascii="StobiSerif Regular" w:hAnsi="StobiSerif Regular" w:cs="StobiSerif Regular"/>
          <w:sz w:val="22"/>
          <w:szCs w:val="22"/>
          <w:lang w:val="mk-MK"/>
        </w:rPr>
      </w:pPr>
    </w:p>
    <w:p w:rsidR="008A3D6C" w:rsidRPr="00BF7955" w:rsidRDefault="008A3D6C" w:rsidP="00E73238">
      <w:pPr>
        <w:jc w:val="both"/>
        <w:rPr>
          <w:rFonts w:ascii="StobiSerif Regular" w:hAnsi="StobiSerif Regular" w:cs="StobiSerif Regular"/>
          <w:b/>
          <w:bCs/>
          <w:i/>
          <w:iCs/>
          <w:sz w:val="22"/>
          <w:szCs w:val="22"/>
        </w:rPr>
      </w:pPr>
      <w:r w:rsidRPr="00BF7955">
        <w:rPr>
          <w:rFonts w:ascii="StobiSerif Regular" w:hAnsi="StobiSerif Regular" w:cs="StobiSerif Regular"/>
          <w:b/>
          <w:bCs/>
          <w:i/>
          <w:iCs/>
          <w:sz w:val="22"/>
          <w:szCs w:val="22"/>
        </w:rPr>
        <w:t>Исход 2</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1: Воспоставен е пакет од стимулации за унапредување на капацитетот на претпријатијата за отворање работни места за младите лица </w:t>
      </w:r>
    </w:p>
    <w:p w:rsidR="008A3D6C" w:rsidRPr="00BF7955" w:rsidRDefault="008A3D6C" w:rsidP="00E73238">
      <w:pPr>
        <w:pStyle w:val="ListParagraph"/>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Најмалку 20 проценти од лицата што се вработени преку програмата за јавни инвестиции што се финансира од страна на Владата се млади невработени лица на возраст до 29 години;</w:t>
      </w:r>
    </w:p>
    <w:p w:rsidR="008A3D6C" w:rsidRPr="00BF7955" w:rsidRDefault="008A3D6C" w:rsidP="00E73238">
      <w:pPr>
        <w:pStyle w:val="Paragrafoelenco1"/>
        <w:jc w:val="both"/>
        <w:rPr>
          <w:rFonts w:ascii="StobiSerif Regular" w:hAnsi="StobiSerif Regular" w:cs="StobiSerif Regular"/>
          <w:color w:val="000000"/>
          <w:lang w:val="mk-MK"/>
        </w:rPr>
      </w:pPr>
      <w:r w:rsidRPr="00BF7955">
        <w:rPr>
          <w:rFonts w:ascii="StobiSerif Regular" w:hAnsi="StobiSerif Regular" w:cs="StobiSerif Regular"/>
          <w:color w:val="000000"/>
          <w:lang w:val="mk-MK"/>
        </w:rPr>
        <w:t>Најмалку 3.000 млади луѓе (15-29) го користат (по 2016 година) ослободувањето од обврската за плаќање придонеси за социјално осигурување што е предвидена во член</w:t>
      </w:r>
      <w:r w:rsidRPr="00BF7955">
        <w:rPr>
          <w:rFonts w:ascii="StobiSerif Regular" w:hAnsi="StobiSerif Regular" w:cs="StobiSerif Regular"/>
          <w:lang w:val="mk-MK"/>
        </w:rPr>
        <w:t xml:space="preserve"> 98  на </w:t>
      </w:r>
      <w:r w:rsidRPr="00BF7955">
        <w:rPr>
          <w:rFonts w:ascii="StobiSerif Regular" w:hAnsi="StobiSerif Regular" w:cs="StobiSerif Regular"/>
          <w:i/>
          <w:iCs/>
          <w:lang w:val="mk-MK"/>
        </w:rPr>
        <w:t>Законот за вработување и осигурување во случај на невработеност</w:t>
      </w:r>
      <w:r w:rsidRPr="00BF7955">
        <w:rPr>
          <w:rFonts w:ascii="StobiSerif Regular" w:hAnsi="StobiSerif Regular" w:cs="StobiSerif Regular"/>
          <w:lang w:val="mk-MK"/>
        </w:rPr>
        <w:t>;</w:t>
      </w:r>
    </w:p>
    <w:p w:rsidR="008A3D6C" w:rsidRPr="00BF7955" w:rsidRDefault="008A3D6C" w:rsidP="00E73238">
      <w:pPr>
        <w:pStyle w:val="Paragrafoelenco1"/>
        <w:jc w:val="both"/>
        <w:rPr>
          <w:rFonts w:ascii="StobiSerif Regular" w:hAnsi="StobiSerif Regular" w:cs="StobiSerif Regular"/>
          <w:color w:val="000000"/>
          <w:lang w:val="mk-MK"/>
        </w:rPr>
      </w:pPr>
      <w:r w:rsidRPr="00BF7955">
        <w:rPr>
          <w:rFonts w:ascii="StobiSerif Regular" w:hAnsi="StobiSerif Regular" w:cs="StobiSerif Regular"/>
          <w:color w:val="000000"/>
          <w:lang w:val="mk-MK"/>
        </w:rPr>
        <w:t xml:space="preserve">Најмалку 10 проценти од претпријатијата добиваат услуги за развој на деловното работење што се координираат од страна на Министерството за економија преку локалната мрежа на Агенцијата за развој на претприемништвото и имаат пристап до кредитната линија на Македонската банка за поддршка на развојот; </w:t>
      </w:r>
    </w:p>
    <w:p w:rsidR="008A3D6C" w:rsidRPr="00BF7955" w:rsidRDefault="008A3D6C" w:rsidP="00E73238">
      <w:pPr>
        <w:pStyle w:val="Paragrafoelenco1"/>
        <w:jc w:val="both"/>
        <w:rPr>
          <w:rFonts w:ascii="StobiSerif Regular" w:hAnsi="StobiSerif Regular" w:cs="StobiSerif Regular"/>
          <w:color w:val="000000"/>
          <w:lang w:val="mk-MK"/>
        </w:rPr>
      </w:pPr>
      <w:r w:rsidRPr="00BF7955">
        <w:rPr>
          <w:rFonts w:ascii="StobiSerif Regular" w:hAnsi="StobiSerif Regular" w:cs="StobiSerif Regular"/>
          <w:color w:val="000000"/>
          <w:lang w:val="mk-MK"/>
        </w:rPr>
        <w:t>Најмалку 20 проценти од работните места што се отворени преку финансиските инструменти што се ставени на располагање од страна на Македонската банка за поддршка на развојот и Фондот за иновации и технолошки развој се наменети за младите работници (на возраст до 29 години);</w:t>
      </w:r>
    </w:p>
    <w:p w:rsidR="008A3D6C" w:rsidRPr="00BF7955" w:rsidRDefault="008A3D6C" w:rsidP="00E73238">
      <w:pPr>
        <w:pStyle w:val="Paragrafoelenco1"/>
        <w:jc w:val="both"/>
        <w:rPr>
          <w:rFonts w:ascii="StobiSerif Regular" w:hAnsi="StobiSerif Regular" w:cs="StobiSerif Regular"/>
          <w:color w:val="000000"/>
          <w:lang w:val="mk-MK"/>
        </w:rPr>
      </w:pPr>
      <w:r w:rsidRPr="00BF7955">
        <w:rPr>
          <w:rFonts w:ascii="StobiSerif Regular" w:hAnsi="StobiSerif Regular" w:cs="StobiSerif Regular"/>
          <w:color w:val="000000"/>
          <w:lang w:val="mk-MK"/>
        </w:rPr>
        <w:t xml:space="preserve">Подобрувањето на позицијата на Македонија на </w:t>
      </w:r>
      <w:r w:rsidRPr="00BF7955">
        <w:rPr>
          <w:rFonts w:ascii="StobiSerif Regular" w:hAnsi="StobiSerif Regular" w:cs="StobiSerif Regular"/>
          <w:i/>
          <w:iCs/>
          <w:color w:val="000000"/>
          <w:lang w:val="mk-MK"/>
        </w:rPr>
        <w:t>Светскиот индекс на конкурентноста</w:t>
      </w:r>
      <w:r w:rsidRPr="00BF7955">
        <w:rPr>
          <w:rFonts w:ascii="StobiSerif Regular" w:hAnsi="StobiSerif Regular" w:cs="StobiSerif Regular"/>
          <w:color w:val="000000"/>
          <w:lang w:val="mk-MK"/>
        </w:rPr>
        <w:t>, и особено во категоријата на индексот за достапноста на финансиските услуги; леснотија на пристапот до заеми; достапност на најновата технологија; технолошка апсорпција на ниво на друштва и капацитетот за иновации.</w:t>
      </w:r>
      <w:r w:rsidRPr="00BF7955">
        <w:rPr>
          <w:rFonts w:ascii="StobiSerif Regular" w:hAnsi="StobiSerif Regular" w:cs="StobiSerif Regular"/>
          <w:lang w:val="mk-MK" w:eastAsia="en-GB"/>
        </w:rPr>
        <w:t xml:space="preserve"> </w:t>
      </w:r>
    </w:p>
    <w:p w:rsidR="008A3D6C" w:rsidRPr="00BF7955" w:rsidRDefault="008A3D6C" w:rsidP="00E73238">
      <w:pPr>
        <w:jc w:val="both"/>
        <w:rPr>
          <w:rFonts w:ascii="StobiSerif Regular" w:hAnsi="StobiSerif Regular" w:cs="StobiSerif Regular"/>
          <w:b/>
          <w:bCs/>
          <w:color w:val="0070C0"/>
          <w:sz w:val="22"/>
          <w:szCs w:val="22"/>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b/>
          <w:bCs/>
          <w:color w:val="0070C0"/>
          <w:sz w:val="22"/>
          <w:szCs w:val="22"/>
        </w:rPr>
        <w:t xml:space="preserve">Почетна состојба: </w:t>
      </w:r>
      <w:r w:rsidRPr="00BF7955">
        <w:rPr>
          <w:rFonts w:ascii="StobiSerif Regular" w:hAnsi="StobiSerif Regular" w:cs="StobiSerif Regular"/>
          <w:sz w:val="22"/>
          <w:szCs w:val="22"/>
        </w:rPr>
        <w:t xml:space="preserve">Тековно не постојат врски меѓу инвестициската програма на Владата и услугите за вработување што се на располагање во АВРМ. Со оглед на тоа што пакетот на инфраструктурните инвестиции ќе изнесува повеќе од 1,5 милијарди евра – со ефект на мултипликација врз вработеноста што се проценува на приближно 66.000 работни места – АВРМ ќе биде потребно да понуди стимулации за вработување млади работници за претпријатијата што се вклучени во инфраструктурниот развој.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Системот од стимулации што е утврден со член 98 на </w:t>
      </w:r>
      <w:r w:rsidRPr="00BF7955">
        <w:rPr>
          <w:rFonts w:ascii="StobiSerif Regular" w:hAnsi="StobiSerif Regular" w:cs="StobiSerif Regular"/>
          <w:i/>
          <w:iCs/>
          <w:sz w:val="22"/>
          <w:szCs w:val="22"/>
        </w:rPr>
        <w:t>Законот за вработување и осигурување во случај на невработеност</w:t>
      </w:r>
      <w:r w:rsidRPr="00BF7955">
        <w:rPr>
          <w:rFonts w:ascii="StobiSerif Regular" w:hAnsi="StobiSerif Regular" w:cs="StobiSerif Regular"/>
          <w:sz w:val="22"/>
          <w:szCs w:val="22"/>
        </w:rPr>
        <w:t xml:space="preserve"> се покажа како прилично ефективен за промовирање на вработувањето на младите луѓе. Оттаму, оваа субвенција ќе продолжи да се применува и по 2016 година, но само во случајот на ангажирање млади работници (15-29).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Голем број претпријатија се соочуваат со тешкотии при исполнувањето на критериумите што се утврдени во кредитните инструменти на Македонската банка за поддршка на развојот. За да се подобри пристапот до финансиите, според тоа, услугите за развој на деловното работење што се обезбедуваат од страна на регионалната мрежа на Агенцијата за развој на претприемништвото ќе се прошират во координација со Министерството за економија за да се осигури дека поголем број претпријатија може да ги искористат веќе постоечките кредитни линии.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Критериумите за квалификување за шемите за грантови што ќе бидат ставени на располагање од страна на Фондот за иновации и технолошки развој (во вкупен износ од приближно 9,4  милиони евра за претстојниот период) се осмислени на таков начин што ќе придонесат кон отворање нови работни места.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Во 2015 година Македонија беше рангирана на 63-то место на Светскиот индекс на конкурентноста.</w:t>
      </w:r>
      <w:r w:rsidRPr="00BF7955">
        <w:rPr>
          <w:rFonts w:ascii="StobiSerif Regular" w:hAnsi="StobiSerif Regular" w:cs="StobiSerif Regular"/>
          <w:sz w:val="22"/>
          <w:szCs w:val="22"/>
          <w:lang w:eastAsia="en-GB"/>
        </w:rPr>
        <w:t xml:space="preserve"> Според технолошката апсорпција на ниво на друштвата, земјата беше рангирана на 105-то место, според капацитетот за иновации на 91-во место, според достапноста на финансиските услуги на 76-то место, според достапноста на најновата технологија на 69-то место и според леснотијата на пристапот до заеми на 55-то место. </w:t>
      </w:r>
    </w:p>
    <w:p w:rsidR="008A3D6C" w:rsidRDefault="008A3D6C">
      <w:pPr>
        <w:rPr>
          <w:rFonts w:ascii="StobiSerif Regular" w:hAnsi="StobiSerif Regular" w:cs="StobiSerif Regular"/>
          <w:sz w:val="22"/>
          <w:szCs w:val="22"/>
          <w:lang w:val="mk-MK"/>
        </w:rPr>
      </w:pPr>
      <w:r>
        <w:rPr>
          <w:rFonts w:ascii="StobiSerif Regular" w:hAnsi="StobiSerif Regular" w:cs="StobiSerif Regular"/>
          <w:lang w:val="mk-MK"/>
        </w:rPr>
        <w:br w:type="page"/>
      </w:r>
    </w:p>
    <w:p w:rsidR="008A3D6C" w:rsidRPr="00BF7955" w:rsidRDefault="008A3D6C" w:rsidP="00E73238">
      <w:pPr>
        <w:pStyle w:val="Paragrafoelenco1"/>
        <w:jc w:val="both"/>
        <w:rPr>
          <w:rFonts w:ascii="StobiSerif Regular" w:hAnsi="StobiSerif Regular" w:cs="StobiSerif Regular"/>
          <w:lang w:val="mk-MK"/>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rPr>
        <w:t>Исход 2</w:t>
      </w:r>
      <w:r w:rsidRPr="00BF7955">
        <w:rPr>
          <w:rFonts w:ascii="StobiSerif Regular" w:hAnsi="StobiSerif Regular" w:cs="StobiSerif Regular"/>
          <w:i/>
          <w:iCs/>
          <w:sz w:val="22"/>
          <w:szCs w:val="22"/>
          <w:lang w:val="mk-MK"/>
        </w:rPr>
        <w:t>.</w:t>
      </w:r>
      <w:r w:rsidRPr="00BF7955">
        <w:rPr>
          <w:rFonts w:ascii="StobiSerif Regular" w:hAnsi="StobiSerif Regular" w:cs="StobiSerif Regular"/>
          <w:i/>
          <w:iCs/>
          <w:sz w:val="22"/>
          <w:szCs w:val="22"/>
        </w:rPr>
        <w:t>1.1</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Пакет иницијативи – вклучувајќи услуги за посредување, субвенции и програми за обука – се обезбедуваат од страна на АВРМ на претпријатијата што се вклучени во развојот на инфраструктурата со цел да се зголеми вработувањето на младите луѓе:</w:t>
      </w:r>
    </w:p>
    <w:p w:rsidR="008A3D6C" w:rsidRPr="00BF7955" w:rsidRDefault="008A3D6C" w:rsidP="00E73238">
      <w:pPr>
        <w:jc w:val="both"/>
        <w:rPr>
          <w:rFonts w:ascii="StobiSerif Regular" w:hAnsi="StobiSerif Regular" w:cs="StobiSerif Regular"/>
          <w:i/>
          <w:iCs/>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rPr>
        <w:t>Исход 2</w:t>
      </w:r>
      <w:r w:rsidRPr="00BF7955">
        <w:rPr>
          <w:rFonts w:ascii="StobiSerif Regular" w:hAnsi="StobiSerif Regular" w:cs="StobiSerif Regular"/>
          <w:i/>
          <w:iCs/>
          <w:sz w:val="22"/>
          <w:szCs w:val="22"/>
          <w:lang w:val="mk-MK"/>
        </w:rPr>
        <w:t>.</w:t>
      </w:r>
      <w:r w:rsidRPr="00BF7955">
        <w:rPr>
          <w:rFonts w:ascii="StobiSerif Regular" w:hAnsi="StobiSerif Regular" w:cs="StobiSerif Regular"/>
          <w:i/>
          <w:iCs/>
          <w:sz w:val="22"/>
          <w:szCs w:val="22"/>
        </w:rPr>
        <w:t xml:space="preserve">1.2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Системот на даночни олеснувања (член 98 на </w:t>
      </w:r>
      <w:r w:rsidRPr="00BF7955">
        <w:rPr>
          <w:rFonts w:ascii="StobiSerif Regular" w:hAnsi="StobiSerif Regular" w:cs="StobiSerif Regular"/>
          <w:i/>
          <w:iCs/>
          <w:sz w:val="22"/>
          <w:szCs w:val="22"/>
        </w:rPr>
        <w:t>Законот за вработување и осигурување во случај на невработеност</w:t>
      </w:r>
      <w:r w:rsidRPr="00BF7955">
        <w:rPr>
          <w:rFonts w:ascii="StobiSerif Regular" w:hAnsi="StobiSerif Regular" w:cs="StobiSerif Regular"/>
          <w:sz w:val="22"/>
          <w:szCs w:val="22"/>
        </w:rPr>
        <w:t xml:space="preserve">) продолжува да се применува по 2016 година за претпријатијата што вработуваат млади работници; </w:t>
      </w:r>
    </w:p>
    <w:p w:rsidR="008A3D6C" w:rsidRPr="00BF7955" w:rsidRDefault="008A3D6C" w:rsidP="00E73238">
      <w:pPr>
        <w:jc w:val="both"/>
        <w:rPr>
          <w:rFonts w:ascii="StobiSerif Regular" w:hAnsi="StobiSerif Regular" w:cs="StobiSerif Regular"/>
          <w:i/>
          <w:iCs/>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rPr>
        <w:t>Исход 2</w:t>
      </w:r>
      <w:r w:rsidRPr="00BF7955">
        <w:rPr>
          <w:rFonts w:ascii="StobiSerif Regular" w:hAnsi="StobiSerif Regular" w:cs="StobiSerif Regular"/>
          <w:i/>
          <w:iCs/>
          <w:sz w:val="22"/>
          <w:szCs w:val="22"/>
          <w:lang w:val="mk-MK"/>
        </w:rPr>
        <w:t>.</w:t>
      </w:r>
      <w:r w:rsidRPr="00BF7955">
        <w:rPr>
          <w:rFonts w:ascii="StobiSerif Regular" w:hAnsi="StobiSerif Regular" w:cs="StobiSerif Regular"/>
          <w:i/>
          <w:iCs/>
          <w:sz w:val="22"/>
          <w:szCs w:val="22"/>
        </w:rPr>
        <w:t>1.3</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Пристапот до кредитниот систем што е достапен преку Македонската банка за поддршка на развојот е надополнет од проширена низа од услуги за развој на деловното работење (шеми за ваучери) што се достапни преку локалните структури на  Агенција за поддршка на претприемништвото, во координација на Министерството за економија;</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rPr>
        <w:t>Исход 2</w:t>
      </w:r>
      <w:r w:rsidRPr="00BF7955">
        <w:rPr>
          <w:rFonts w:ascii="StobiSerif Regular" w:hAnsi="StobiSerif Regular" w:cs="StobiSerif Regular"/>
          <w:i/>
          <w:iCs/>
          <w:sz w:val="22"/>
          <w:szCs w:val="22"/>
          <w:lang w:val="mk-MK"/>
        </w:rPr>
        <w:t>.</w:t>
      </w:r>
      <w:r w:rsidRPr="00BF7955">
        <w:rPr>
          <w:rFonts w:ascii="StobiSerif Regular" w:hAnsi="StobiSerif Regular" w:cs="StobiSerif Regular"/>
          <w:i/>
          <w:iCs/>
          <w:sz w:val="22"/>
          <w:szCs w:val="22"/>
        </w:rPr>
        <w:t>1.4</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Инструментите што се ставени на располагање преку Фондот за иновации и технолошки развој (ФИТР) придонесуваат за отворањето нови работни места и подобрувањето на капацитетот за иновации во земјата (една категорија од Светскиот индекс за конкурентност). </w:t>
      </w:r>
    </w:p>
    <w:p w:rsidR="008A3D6C" w:rsidRPr="00BF7955" w:rsidRDefault="008A3D6C" w:rsidP="00E73238">
      <w:pPr>
        <w:pStyle w:val="ListParagraph"/>
        <w:jc w:val="both"/>
        <w:rPr>
          <w:rFonts w:ascii="StobiSerif Regular" w:hAnsi="StobiSerif Regular" w:cs="StobiSerif Regular"/>
          <w:b/>
          <w:bCs/>
          <w:i/>
          <w:iCs/>
          <w:color w:val="0070C0"/>
          <w:sz w:val="22"/>
          <w:szCs w:val="22"/>
          <w:lang w:val="mk-MK"/>
        </w:rPr>
      </w:pPr>
    </w:p>
    <w:p w:rsidR="008A3D6C" w:rsidRPr="00BF7955" w:rsidRDefault="008A3D6C" w:rsidP="00E73238">
      <w:pPr>
        <w:pStyle w:val="ListParagraph"/>
        <w:jc w:val="both"/>
        <w:rPr>
          <w:rFonts w:ascii="StobiSerif Regular" w:hAnsi="StobiSerif Regular" w:cs="StobiSerif Regular"/>
          <w:b/>
          <w:bCs/>
          <w:i/>
          <w:iCs/>
          <w:color w:val="0070C0"/>
          <w:sz w:val="22"/>
          <w:szCs w:val="22"/>
          <w:lang w:val="mk-MK"/>
        </w:rPr>
      </w:pPr>
    </w:p>
    <w:p w:rsidR="008A3D6C" w:rsidRPr="00BF7955" w:rsidRDefault="008A3D6C" w:rsidP="00E73238">
      <w:pPr>
        <w:pStyle w:val="ListParagraph"/>
        <w:jc w:val="both"/>
        <w:rPr>
          <w:rFonts w:ascii="StobiSerif Regular" w:hAnsi="StobiSerif Regular" w:cs="StobiSerif Regular"/>
          <w:b/>
          <w:bCs/>
          <w:i/>
          <w:iCs/>
          <w:color w:val="0070C0"/>
          <w:sz w:val="22"/>
          <w:szCs w:val="22"/>
          <w:lang w:val="mk-MK"/>
        </w:rPr>
      </w:pPr>
      <w:r w:rsidRPr="00BF7955">
        <w:rPr>
          <w:rFonts w:ascii="StobiSerif Regular" w:hAnsi="StobiSerif Regular" w:cs="StobiSerif Regular"/>
          <w:b/>
          <w:bCs/>
          <w:i/>
          <w:iCs/>
          <w:color w:val="0070C0"/>
          <w:sz w:val="22"/>
          <w:szCs w:val="22"/>
          <w:lang w:val="mk-MK"/>
        </w:rPr>
        <w:t>Олеснување на преминот на младите лица на работа</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Целта на олеснувањето на преминот на младите лица во светот на работата се заснова врз три исходи, имено: i) забрзување на процесот на модернизација на Агенцијата за вработување на Република Македонија (подобрување на инфраструктурата, достапност на квалитетни човечки ресурси и ревизија на распределбата на средствата за центрите за вработување); ii) ревизија на механизмите за обезбедување услуги и развој на наменски услуги за младите лица, што ја вклучува програмата </w:t>
      </w:r>
      <w:r w:rsidRPr="00BF7955">
        <w:rPr>
          <w:rFonts w:ascii="StobiSerif Regular" w:hAnsi="StobiSerif Regular" w:cs="StobiSerif Regular"/>
          <w:i/>
          <w:iCs/>
          <w:sz w:val="22"/>
          <w:szCs w:val="22"/>
        </w:rPr>
        <w:t>Старт за млади</w:t>
      </w:r>
      <w:r w:rsidRPr="00BF7955">
        <w:rPr>
          <w:rFonts w:ascii="StobiSerif Regular" w:hAnsi="StobiSerif Regular" w:cs="StobiSerif Regular"/>
          <w:sz w:val="22"/>
          <w:szCs w:val="22"/>
        </w:rPr>
        <w:t>; и обезбедување квалитетни услуги на работодавачите за зголемување на пробивот на АВРМ на пазарот на слободни работни места и за обезбедување веродостојни информации за младите баратели на работа.</w:t>
      </w:r>
    </w:p>
    <w:p w:rsidR="008A3D6C" w:rsidRDefault="008A3D6C">
      <w:pPr>
        <w:rPr>
          <w:rFonts w:ascii="StobiSerif Regular" w:hAnsi="StobiSerif Regular" w:cs="StobiSerif Regular"/>
          <w:b/>
          <w:bCs/>
          <w:i/>
          <w:iCs/>
          <w:sz w:val="22"/>
          <w:szCs w:val="22"/>
        </w:rPr>
      </w:pPr>
      <w:r>
        <w:rPr>
          <w:rFonts w:ascii="StobiSerif Regular" w:hAnsi="StobiSerif Regular" w:cs="StobiSerif Regular"/>
          <w:b/>
          <w:bCs/>
          <w:i/>
          <w:iCs/>
          <w:sz w:val="22"/>
          <w:szCs w:val="22"/>
        </w:rPr>
        <w:br w:type="page"/>
      </w:r>
    </w:p>
    <w:p w:rsidR="008A3D6C" w:rsidRPr="00BF7955" w:rsidRDefault="008A3D6C" w:rsidP="00E73238">
      <w:pPr>
        <w:jc w:val="both"/>
        <w:rPr>
          <w:rFonts w:ascii="StobiSerif Regular" w:hAnsi="StobiSerif Regular" w:cs="StobiSerif Regular"/>
          <w:b/>
          <w:bCs/>
          <w:i/>
          <w:iCs/>
          <w:sz w:val="22"/>
          <w:szCs w:val="22"/>
        </w:rPr>
      </w:pPr>
    </w:p>
    <w:p w:rsidR="008A3D6C" w:rsidRPr="00BF7955" w:rsidRDefault="008A3D6C" w:rsidP="00E73238">
      <w:pPr>
        <w:jc w:val="both"/>
        <w:rPr>
          <w:rFonts w:ascii="StobiSerif Regular" w:hAnsi="StobiSerif Regular" w:cs="StobiSerif Regular"/>
          <w:b/>
          <w:bCs/>
          <w:i/>
          <w:iCs/>
          <w:sz w:val="22"/>
          <w:szCs w:val="22"/>
        </w:rPr>
      </w:pPr>
      <w:r w:rsidRPr="00BF7955">
        <w:rPr>
          <w:rFonts w:ascii="StobiSerif Regular" w:hAnsi="StobiSerif Regular" w:cs="StobiSerif Regular"/>
          <w:b/>
          <w:bCs/>
          <w:i/>
          <w:iCs/>
          <w:sz w:val="22"/>
          <w:szCs w:val="22"/>
        </w:rPr>
        <w:t>Исход 3</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1 – Процесот на модернизација на Агенцијата за вработување на Република Македонија е забрзан </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Соодносот меѓу персоналот за непосреден контакт и невработените лица е намален на 1 : 300;</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 xml:space="preserve">Најмалку 80 проценти од просториите на центрите за вработување се реконструирани и реновирани во согласност со насоките за брендирање на АВРМ; </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30 проценти од сите млади невработени лица што се пријавени во секој центар за вработување имаат пристап до целиот опсег услуги за вработување на АВРМ;</w:t>
      </w:r>
    </w:p>
    <w:p w:rsidR="008A3D6C" w:rsidRPr="00BF7955" w:rsidRDefault="008A3D6C" w:rsidP="00E73238">
      <w:pPr>
        <w:jc w:val="both"/>
        <w:rPr>
          <w:rFonts w:ascii="StobiSerif Regular" w:hAnsi="StobiSerif Regular" w:cs="StobiSerif Regular"/>
          <w:b/>
          <w:bCs/>
          <w:color w:val="0070C0"/>
          <w:sz w:val="22"/>
          <w:szCs w:val="22"/>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b/>
          <w:bCs/>
          <w:color w:val="0070C0"/>
          <w:sz w:val="22"/>
          <w:szCs w:val="22"/>
        </w:rPr>
        <w:t xml:space="preserve">Почетна состојба: </w:t>
      </w:r>
      <w:r w:rsidRPr="00BF7955">
        <w:rPr>
          <w:rFonts w:ascii="StobiSerif Regular" w:hAnsi="StobiSerif Regular" w:cs="StobiSerif Regular"/>
          <w:sz w:val="22"/>
          <w:szCs w:val="22"/>
        </w:rPr>
        <w:t xml:space="preserve">Во 2014 година соодносот меѓу персоналот за непосреден контакт на АВРМ и невработените лица беше 1:736, што е далеку над просечната меѓународна одредница од 1:100  што се користи како референтна вредност за оценување на квалитетот на обезбедувањето на услугите. АВРМ има мрежа од триесет центри за вработување, при што сите од нив треба да се реновираат и да се ребрендираат за да се осигури кохерентно обезбедување на услугите низ целата земја. ИПА пакетот за помош предвидува реновирање на дванаесет центри за вработување со проценета цена на чинење од 1,2 милиони евра.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ИКТ системот, исто така, треба да се надгради со оглед на тоа што количеството на податоците што треба да се собираат, чуваат, систематизираат и презентираат постојано расте а голем број центри сè уште работат со застарена хардверска опрема.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Уште поважно е тоа што АВРМ треба да спроведе повеќегодишен план за вработување и обука за да осигури дека секој центар има доволен број на специјализирани советници што им обезбедуваат услуги на младите клиенти. Во моментов не постои план за вработување дополнителни човечки ресурси и не се спроведува годишен план за обука за подобрување на квалитетот на дадените услуги. </w:t>
      </w:r>
    </w:p>
    <w:p w:rsidR="008A3D6C" w:rsidRPr="00BF7955" w:rsidRDefault="008A3D6C" w:rsidP="00E73238">
      <w:pPr>
        <w:jc w:val="both"/>
        <w:rPr>
          <w:rFonts w:ascii="StobiSerif Regular" w:hAnsi="StobiSerif Regular" w:cs="StobiSerif Regular"/>
          <w:sz w:val="22"/>
          <w:szCs w:val="22"/>
          <w:lang w:eastAsia="en-GB"/>
        </w:rPr>
      </w:pPr>
      <w:r w:rsidRPr="00BF7955">
        <w:rPr>
          <w:rFonts w:ascii="StobiSerif Regular" w:hAnsi="StobiSerif Regular" w:cs="StobiSerif Regular"/>
          <w:sz w:val="22"/>
          <w:szCs w:val="22"/>
        </w:rPr>
        <w:t>Земјата вложува само 0,15 проценти од БДП во активните програми на пазарот на трудот и станува сè позависна од надворешното финансирање за зголемување на опфатот. Ова значи дека тековното портфолио на услуги и програми (индивидуализирана помош при барање работа, кариерно насочување, обука, практикантство, субвенционирање на вработувањето и помош за самовработување) не е достапно насекаде во земјата. Оттаму, формулата за финансирање ќе се ревидира за да се гарантира дека и најмалиот центар за вработување има годишно портфолио што овозможува работа со најмалку 10 проценти од годишниот број невработени лица, при што приближно 30 проценти од корисниците ќе бидат млади лица на возраст до 29 години.</w:t>
      </w:r>
      <w:r w:rsidRPr="00BF7955">
        <w:rPr>
          <w:rFonts w:ascii="StobiSerif Regular" w:hAnsi="StobiSerif Regular" w:cs="StobiSerif Regular"/>
          <w:sz w:val="22"/>
          <w:szCs w:val="22"/>
          <w:lang w:eastAsia="en-GB"/>
        </w:rPr>
        <w:t xml:space="preserve">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1.1</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Состојбата во центрите за вработување на АВРМ (инфраструктура, реновирање, човечки ресурси, ИКТ хардвер и софтвер, како и обезбедување услуги) е мапирана и резултатите од мапирањето се искористени за изготвување повеќегодишни планови за развој;</w:t>
      </w:r>
    </w:p>
    <w:p w:rsidR="008A3D6C" w:rsidRPr="00BF7955" w:rsidRDefault="008A3D6C" w:rsidP="00E73238">
      <w:pPr>
        <w:jc w:val="both"/>
        <w:rPr>
          <w:rFonts w:ascii="StobiSerif Regular" w:hAnsi="StobiSerif Regular" w:cs="StobiSerif Regular"/>
          <w:i/>
          <w:iCs/>
          <w:sz w:val="22"/>
          <w:szCs w:val="22"/>
          <w:lang w:eastAsia="it-IT"/>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1.2</w:t>
      </w:r>
      <w:r w:rsidRPr="00BF7955">
        <w:rPr>
          <w:rFonts w:ascii="StobiSerif Regular" w:hAnsi="StobiSerif Regular" w:cs="StobiSerif Regular"/>
          <w:i/>
          <w:iCs/>
          <w:sz w:val="22"/>
          <w:szCs w:val="22"/>
        </w:rPr>
        <w:t xml:space="preserve"> </w:t>
      </w:r>
    </w:p>
    <w:p w:rsidR="008A3D6C"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Повеќегодишен план за развој на инфраструктура/реновирање е одобрен и спроведен за подобрување на просториите на АВРМ и надградба на ИКТ платформата;</w:t>
      </w:r>
    </w:p>
    <w:p w:rsidR="008A3D6C" w:rsidRPr="00BF7955" w:rsidRDefault="008A3D6C" w:rsidP="00E73238">
      <w:pPr>
        <w:jc w:val="both"/>
        <w:rPr>
          <w:rFonts w:ascii="StobiSerif Regular" w:hAnsi="StobiSerif Regular" w:cs="StobiSerif Regular"/>
          <w:sz w:val="22"/>
          <w:szCs w:val="22"/>
        </w:rPr>
      </w:pPr>
    </w:p>
    <w:p w:rsidR="008A3D6C" w:rsidRPr="000E5003" w:rsidRDefault="008A3D6C" w:rsidP="000E5003">
      <w:pPr>
        <w:rPr>
          <w:rFonts w:ascii="StobiSerif Regular" w:hAnsi="StobiSerif Regular" w:cs="StobiSerif Regular"/>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1.3</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Се спроведуваат годишни планови за вработување и развој на човечки ресурси за професионализирање на обезбедувањето на услугите за вработување и осигурување квалитетно обезбедување на услугите;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1.4</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Формулата за финансирање на центрите за вработување на АВРМ е ревидирана за да се осигури минимален обем на обезбедување услуги и програми низ целата земја.</w:t>
      </w:r>
    </w:p>
    <w:p w:rsidR="008A3D6C" w:rsidRPr="00BF7955" w:rsidRDefault="008A3D6C" w:rsidP="00E73238">
      <w:pPr>
        <w:jc w:val="both"/>
        <w:rPr>
          <w:rFonts w:ascii="StobiSerif Regular" w:hAnsi="StobiSerif Regular" w:cs="StobiSerif Regular"/>
          <w:b/>
          <w:bCs/>
          <w:i/>
          <w:iCs/>
          <w:sz w:val="22"/>
          <w:szCs w:val="22"/>
        </w:rPr>
      </w:pPr>
      <w:r w:rsidRPr="00BF7955">
        <w:rPr>
          <w:rFonts w:ascii="StobiSerif Regular" w:hAnsi="StobiSerif Regular" w:cs="StobiSerif Regular"/>
          <w:b/>
          <w:bCs/>
          <w:i/>
          <w:iCs/>
          <w:sz w:val="22"/>
          <w:szCs w:val="22"/>
        </w:rPr>
        <w:br w:type="page"/>
      </w:r>
    </w:p>
    <w:p w:rsidR="008A3D6C" w:rsidRPr="00BF7955" w:rsidRDefault="008A3D6C" w:rsidP="00E73238">
      <w:pPr>
        <w:jc w:val="both"/>
        <w:rPr>
          <w:rFonts w:ascii="StobiSerif Regular" w:hAnsi="StobiSerif Regular" w:cs="StobiSerif Regular"/>
          <w:b/>
          <w:bCs/>
          <w:i/>
          <w:iCs/>
          <w:sz w:val="22"/>
          <w:szCs w:val="22"/>
        </w:rPr>
      </w:pPr>
      <w:r w:rsidRPr="00BF7955">
        <w:rPr>
          <w:rFonts w:ascii="StobiSerif Regular" w:hAnsi="StobiSerif Regular" w:cs="StobiSerif Regular"/>
          <w:b/>
          <w:bCs/>
          <w:i/>
          <w:iCs/>
          <w:sz w:val="22"/>
          <w:szCs w:val="22"/>
        </w:rPr>
        <w:t>Исход 3</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2 – Механизмите за спроведување и финансирање на активните политики на пазарот на трудот се приспособени за исполнување на потребите на младите невработени лица</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70 проценти од младите лица што првпат се пријавуваат во АВРМ се профилирани рано (во текот на првите 6 месеци од периодот на невработеност);</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40 проценти од сите јавни средства што се наменети за АППТ се вложуваат во интервенции поврзани со преминот од училиште на работа;</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15 проценти од сите млади невработени лица имаат пристап до наменски услуги за младите луѓе (</w:t>
      </w:r>
      <w:r w:rsidRPr="00BF7955">
        <w:rPr>
          <w:rFonts w:ascii="StobiSerif Regular" w:hAnsi="StobiSerif Regular" w:cs="StobiSerif Regular"/>
          <w:i/>
          <w:iCs/>
          <w:lang w:val="mk-MK"/>
        </w:rPr>
        <w:t>Старт за млади</w:t>
      </w:r>
      <w:r w:rsidRPr="00BF7955">
        <w:rPr>
          <w:rFonts w:ascii="StobiSerif Regular" w:hAnsi="StobiSerif Regular" w:cs="StobiSerif Regular"/>
          <w:lang w:val="mk-MK"/>
        </w:rPr>
        <w:t>);</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75 проценти од младите невработени лица учествуваат во програми и 40 проценти од младите лица што добиваат услуги за вработување се вработени една година по третманот.</w:t>
      </w:r>
    </w:p>
    <w:p w:rsidR="008A3D6C" w:rsidRPr="00BF7955" w:rsidRDefault="008A3D6C" w:rsidP="00E73238">
      <w:pPr>
        <w:jc w:val="both"/>
        <w:rPr>
          <w:rFonts w:ascii="StobiSerif Regular" w:hAnsi="StobiSerif Regular" w:cs="StobiSerif Regular"/>
          <w:b/>
          <w:bCs/>
          <w:color w:val="0070C0"/>
          <w:sz w:val="22"/>
          <w:szCs w:val="22"/>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b/>
          <w:bCs/>
          <w:color w:val="0070C0"/>
          <w:sz w:val="22"/>
          <w:szCs w:val="22"/>
        </w:rPr>
        <w:t xml:space="preserve">Почетна состојба: </w:t>
      </w:r>
      <w:r w:rsidRPr="00BF7955">
        <w:rPr>
          <w:rFonts w:ascii="StobiSerif Regular" w:hAnsi="StobiSerif Regular" w:cs="StobiSerif Regular"/>
          <w:sz w:val="22"/>
          <w:szCs w:val="22"/>
        </w:rPr>
        <w:t xml:space="preserve">На почетокот на 2015 година АВРМ тестираше експериментален поедноставен систем за профилирање (врз основа на контролен список за можностите за вработување) што се очекува дека ќе се воведе до крајот на годината за сите новопријавени невработени лица. Таквиот систем за профилирање им помага на советниците да ги категоризираат невработените лица во согласност со пречките со кои што тие се соочуваат на пазарот на трудот и, според тоа, да го применат најефективниот пакет услуги и програми за вработување.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Тековно само 0,15 од БДП се вложуваат во активните политики на пазарот на трудот, а приближно 30 проценти од овие средства се наменети за младите невработени лица.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АВРМ тековно нуди две наменски услуги за младите невработени лица. Првата е обуката за подготовка за вработување (во 2014 година приближно 1.750 млади невработени лица биле корисници на оваа услуга) а втората е програмата за практикантство (во 2014 година само 260 млади лица учествувале во оваа програма). Опфатот на овие две иницијативи што се посебно наменети за младите лица во 2014 година бил 6,5 проценти од сите млади лица (15-29) што биле пријавени како невработени.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Во 2014 година, бројот на младите невработени лица што учествувале во активните програми на пазарот на трудот изнесувал 7.225. Оние што биле вработени една година по завршувањето на програмите учествувале со 71 процент во вкупниот број. Индивидуализираните услуги за вработување (мотивациска обука, кариерно советување и насочување, помош при барање работа) опфатиле приближно 9.400 млади лица, од кои приближно 27,6 проценти биле вработени една година по добивањето на услугата. </w:t>
      </w:r>
    </w:p>
    <w:p w:rsidR="008A3D6C"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Делокругот на овој исход на политиката е: i) да се осигури дека младите лица под ризик се навремено профилирани за да се избегне да станат долгорочно невработени; ii) да се стават повеќе средства на располагање за АППТ што се осмислени врз основа на системот за предвидување вештини;  и iii) да се воспостави нова </w:t>
      </w:r>
      <w:r w:rsidRPr="00BF7955">
        <w:rPr>
          <w:rFonts w:ascii="StobiSerif Regular" w:hAnsi="StobiSerif Regular" w:cs="StobiSerif Regular"/>
          <w:sz w:val="22"/>
          <w:szCs w:val="22"/>
          <w:lang w:val="en-US"/>
        </w:rPr>
        <w:t>линија</w:t>
      </w:r>
      <w:r w:rsidRPr="00BF7955">
        <w:rPr>
          <w:rFonts w:ascii="StobiSerif Regular" w:hAnsi="StobiSerif Regular" w:cs="StobiSerif Regular"/>
          <w:sz w:val="22"/>
          <w:szCs w:val="22"/>
        </w:rPr>
        <w:t xml:space="preserve"> наменски услуги за младите луѓе, што ја вклучуваат програмата </w:t>
      </w:r>
      <w:r w:rsidRPr="00BF7955">
        <w:rPr>
          <w:rFonts w:ascii="StobiSerif Regular" w:hAnsi="StobiSerif Regular" w:cs="StobiSerif Regular"/>
          <w:i/>
          <w:iCs/>
          <w:sz w:val="22"/>
          <w:szCs w:val="22"/>
        </w:rPr>
        <w:t>Старт за млади</w:t>
      </w:r>
      <w:r w:rsidRPr="00BF7955">
        <w:rPr>
          <w:rFonts w:ascii="StobiSerif Regular" w:hAnsi="StobiSerif Regular" w:cs="StobiSerif Regular"/>
          <w:sz w:val="22"/>
          <w:szCs w:val="22"/>
        </w:rPr>
        <w:t xml:space="preserve">. Последно наведената програма претставува пакет што вклучува профилирање, обука за подготовка за вработување, субвенционирана обука на работното место и практикантство. </w:t>
      </w:r>
    </w:p>
    <w:p w:rsidR="008A3D6C" w:rsidRPr="00BF7955" w:rsidRDefault="008A3D6C" w:rsidP="00E73238">
      <w:pPr>
        <w:jc w:val="both"/>
        <w:rPr>
          <w:rFonts w:ascii="StobiSerif Regular" w:hAnsi="StobiSerif Regular" w:cs="StobiSerif Regular"/>
          <w:sz w:val="22"/>
          <w:szCs w:val="22"/>
        </w:rPr>
      </w:pPr>
    </w:p>
    <w:p w:rsidR="008A3D6C" w:rsidRPr="000E5003"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2.1</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Системот за профилирање што се заснова врз Контролниот список за можностите за вработување се користи во сите центри за вработување за сегментирање на младите клиенти за целите на приоретизирање на интервенциите.</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2.2</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Најмалку 40 проценти од годишниот буџет за АППТ се вложуваат во интервенции за олеснување на преминот на младите лица на пристојна работа; </w:t>
      </w:r>
    </w:p>
    <w:p w:rsidR="008A3D6C" w:rsidRPr="00BF7955" w:rsidRDefault="008A3D6C" w:rsidP="00E73238">
      <w:pPr>
        <w:jc w:val="both"/>
        <w:rPr>
          <w:rFonts w:ascii="StobiSerif Regular" w:hAnsi="StobiSerif Regular" w:cs="StobiSerif Regular"/>
          <w:i/>
          <w:iCs/>
          <w:sz w:val="22"/>
          <w:szCs w:val="22"/>
          <w:lang w:eastAsia="it-IT"/>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2.3</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Дизајнот и целните групи на активните програми на пазарот на трудот се усогласени со резултатите на системот за предвидување вештини и им обезбедуваат на младите луѓе вештини и можности за вработување во економските сектори и занимањата што бележат раст;</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2.4</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АВРМ развива и спроведува линија наменски услуги за младите лица, што вклучуваат услуги за поддршка на лицата што го напуштиле училиштето, „ден на младите“ во најголемите центри за вработување, младински саеми за вработување, младински </w:t>
      </w:r>
      <w:r w:rsidRPr="00BF7955">
        <w:rPr>
          <w:rFonts w:ascii="StobiSerif Regular" w:hAnsi="StobiSerif Regular" w:cs="StobiSerif Regular"/>
          <w:i/>
          <w:iCs/>
          <w:sz w:val="22"/>
          <w:szCs w:val="22"/>
        </w:rPr>
        <w:t>инфо-точки</w:t>
      </w:r>
      <w:r w:rsidRPr="00BF7955">
        <w:rPr>
          <w:rFonts w:ascii="StobiSerif Regular" w:hAnsi="StobiSerif Regular" w:cs="StobiSerif Regular"/>
          <w:sz w:val="22"/>
          <w:szCs w:val="22"/>
        </w:rPr>
        <w:t xml:space="preserve"> на популарните музички и спортски настани и пристап до програмата </w:t>
      </w:r>
      <w:r w:rsidRPr="00BF7955">
        <w:rPr>
          <w:rFonts w:ascii="StobiSerif Regular" w:hAnsi="StobiSerif Regular" w:cs="StobiSerif Regular"/>
          <w:i/>
          <w:iCs/>
          <w:sz w:val="22"/>
          <w:szCs w:val="22"/>
        </w:rPr>
        <w:t>Старт за млади</w:t>
      </w:r>
      <w:r w:rsidRPr="00BF7955">
        <w:rPr>
          <w:rFonts w:ascii="StobiSerif Regular" w:hAnsi="StobiSerif Regular" w:cs="StobiSerif Regular"/>
          <w:sz w:val="22"/>
          <w:szCs w:val="22"/>
        </w:rPr>
        <w:t xml:space="preserve"> (видете Исход 3</w:t>
      </w:r>
      <w:r w:rsidRPr="00BF7955">
        <w:rPr>
          <w:rFonts w:ascii="StobiSerif Regular" w:hAnsi="StobiSerif Regular" w:cs="StobiSerif Regular"/>
          <w:sz w:val="22"/>
          <w:szCs w:val="22"/>
          <w:lang w:val="mk-MK"/>
        </w:rPr>
        <w:t>.</w:t>
      </w:r>
      <w:r w:rsidRPr="00BF7955">
        <w:rPr>
          <w:rFonts w:ascii="StobiSerif Regular" w:hAnsi="StobiSerif Regular" w:cs="StobiSerif Regular"/>
          <w:sz w:val="22"/>
          <w:szCs w:val="22"/>
        </w:rPr>
        <w:t xml:space="preserve">2.5). </w:t>
      </w:r>
    </w:p>
    <w:p w:rsidR="008A3D6C" w:rsidRPr="00BF7955" w:rsidRDefault="008A3D6C" w:rsidP="00E73238">
      <w:pPr>
        <w:jc w:val="both"/>
        <w:rPr>
          <w:rFonts w:ascii="StobiSerif Regular" w:hAnsi="StobiSerif Regular" w:cs="StobiSerif Regular"/>
          <w:i/>
          <w:iCs/>
          <w:sz w:val="22"/>
          <w:szCs w:val="22"/>
          <w:lang w:eastAsia="it-IT"/>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lang w:eastAsia="it-IT"/>
        </w:rPr>
        <w:t>Исход 3</w:t>
      </w:r>
      <w:r w:rsidRPr="00BF7955">
        <w:rPr>
          <w:rFonts w:ascii="StobiSerif Regular" w:hAnsi="StobiSerif Regular" w:cs="StobiSerif Regular"/>
          <w:i/>
          <w:iCs/>
          <w:sz w:val="22"/>
          <w:szCs w:val="22"/>
          <w:lang w:val="mk-MK" w:eastAsia="it-IT"/>
        </w:rPr>
        <w:t>.</w:t>
      </w:r>
      <w:r w:rsidRPr="00BF7955">
        <w:rPr>
          <w:rFonts w:ascii="StobiSerif Regular" w:hAnsi="StobiSerif Regular" w:cs="StobiSerif Regular"/>
          <w:i/>
          <w:iCs/>
          <w:sz w:val="22"/>
          <w:szCs w:val="22"/>
          <w:lang w:eastAsia="it-IT"/>
        </w:rPr>
        <w:t>2.5</w:t>
      </w:r>
      <w:r w:rsidRPr="00BF7955">
        <w:rPr>
          <w:rFonts w:ascii="StobiSerif Regular" w:hAnsi="StobiSerif Regular" w:cs="StobiSerif Regular"/>
          <w:i/>
          <w:iCs/>
          <w:sz w:val="22"/>
          <w:szCs w:val="22"/>
        </w:rPr>
        <w:t xml:space="preserve"> </w:t>
      </w: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sz w:val="22"/>
          <w:szCs w:val="22"/>
        </w:rPr>
        <w:t xml:space="preserve">Програмата </w:t>
      </w:r>
      <w:r w:rsidRPr="00BF7955">
        <w:rPr>
          <w:rFonts w:ascii="StobiSerif Regular" w:hAnsi="StobiSerif Regular" w:cs="StobiSerif Regular"/>
          <w:i/>
          <w:iCs/>
          <w:sz w:val="22"/>
          <w:szCs w:val="22"/>
        </w:rPr>
        <w:t>Старт за млади</w:t>
      </w:r>
      <w:r w:rsidRPr="00BF7955">
        <w:rPr>
          <w:rFonts w:ascii="StobiSerif Regular" w:hAnsi="StobiSerif Regular" w:cs="StobiSerif Regular"/>
          <w:sz w:val="22"/>
          <w:szCs w:val="22"/>
        </w:rPr>
        <w:t xml:space="preserve"> (обука за подготовка за вработување, субвенционирана обука на работното место и практикантство) за лицата што првпат влегуваат на пазарот на трудот станува дел од портфолиото на активни програми на пазарот на трудот што им се достапни на младите невработени лица.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p>
    <w:p w:rsidR="008A3D6C" w:rsidRPr="00BF7955" w:rsidRDefault="008A3D6C" w:rsidP="00E73238">
      <w:pPr>
        <w:jc w:val="both"/>
        <w:rPr>
          <w:rFonts w:ascii="StobiSerif Regular" w:hAnsi="StobiSerif Regular" w:cs="StobiSerif Regular"/>
          <w:b/>
          <w:bCs/>
          <w:i/>
          <w:iCs/>
          <w:sz w:val="22"/>
          <w:szCs w:val="22"/>
        </w:rPr>
      </w:pPr>
      <w:r w:rsidRPr="00BF7955">
        <w:rPr>
          <w:rFonts w:ascii="StobiSerif Regular" w:hAnsi="StobiSerif Regular" w:cs="StobiSerif Regular"/>
          <w:b/>
          <w:bCs/>
          <w:i/>
          <w:iCs/>
          <w:sz w:val="22"/>
          <w:szCs w:val="22"/>
        </w:rPr>
        <w:t xml:space="preserve">Исход 3,3. АВРМ нуди квалитетни услуги за работодавачите и на младите лица им обезбедува веродостоен преглед на слободните работни места </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 xml:space="preserve">Бројот и видот на слободните работни места што се евидентирани од страна на АВРМ се усогласени со слободните работни места што се идентификуваат преку </w:t>
      </w:r>
      <w:r w:rsidRPr="00BF7955">
        <w:rPr>
          <w:rFonts w:ascii="StobiSerif Regular" w:hAnsi="StobiSerif Regular" w:cs="StobiSerif Regular"/>
          <w:i/>
          <w:iCs/>
          <w:lang w:val="mk-MK"/>
        </w:rPr>
        <w:t>Анкетата за слободни работни места</w:t>
      </w:r>
      <w:r w:rsidRPr="00BF7955">
        <w:rPr>
          <w:rFonts w:ascii="StobiSerif Regular" w:hAnsi="StobiSerif Regular" w:cs="StobiSerif Regular"/>
          <w:lang w:val="mk-MK"/>
        </w:rPr>
        <w:t xml:space="preserve"> (Државен завод за статистика);</w:t>
      </w:r>
    </w:p>
    <w:p w:rsidR="008A3D6C" w:rsidRPr="00BF7955" w:rsidRDefault="008A3D6C" w:rsidP="00E73238">
      <w:pPr>
        <w:pStyle w:val="Paragrafoelenco1"/>
        <w:jc w:val="both"/>
        <w:rPr>
          <w:rFonts w:ascii="StobiSerif Regular" w:hAnsi="StobiSerif Regular" w:cs="StobiSerif Regular"/>
          <w:lang w:val="mk-MK"/>
        </w:rPr>
      </w:pPr>
      <w:r w:rsidRPr="00BF7955">
        <w:rPr>
          <w:rFonts w:ascii="StobiSerif Regular" w:hAnsi="StobiSerif Regular" w:cs="StobiSerif Regular"/>
          <w:lang w:val="mk-MK"/>
        </w:rPr>
        <w:t>Услугите за посредување при вработување се користат од страна на 20 проценти од работодавачите што огласуваат слободни работни места.</w:t>
      </w:r>
    </w:p>
    <w:p w:rsidR="008A3D6C" w:rsidRPr="00BF7955" w:rsidRDefault="008A3D6C" w:rsidP="00E73238">
      <w:pPr>
        <w:pStyle w:val="Paragrafoelenco1"/>
        <w:jc w:val="both"/>
        <w:rPr>
          <w:rFonts w:ascii="StobiSerif Regular" w:hAnsi="StobiSerif Regular" w:cs="StobiSerif Regular"/>
          <w:lang w:val="mk-MK"/>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b/>
          <w:bCs/>
          <w:color w:val="0070C0"/>
          <w:sz w:val="22"/>
          <w:szCs w:val="22"/>
        </w:rPr>
        <w:t xml:space="preserve">Почетна состојба: </w:t>
      </w:r>
      <w:r w:rsidRPr="00BF7955">
        <w:rPr>
          <w:rFonts w:ascii="StobiSerif Regular" w:hAnsi="StobiSerif Regular" w:cs="StobiSerif Regular"/>
          <w:sz w:val="22"/>
          <w:szCs w:val="22"/>
        </w:rPr>
        <w:t xml:space="preserve">Базата на податоци за слободни работни места на АВРМ функционира како отворен систем, каде што работодавачите може да огласуваат слободни работни места за секакви видови работа (отворени за внатрешни/надворешни кандидати, зафатени/слободни, продолжување на краткорочни договори, повторно огласување, итн.) Иако во отворениот систем бројот на пријавените слободни работни места е значителен, голем број од работните места што се нудат реално не им се достапни на барателите на работа. Токму поради тоа начинот за собирање на податоци и објавување на слободните работни места во системот на АВРМ ќе се трансформира во полуотворен пристап каде што сите слободни работни места се селектираат и проверуваат од страна на специјализиран персонал на АВРМ за да им се обезбедат реалистични информации на барателите на работа, како и за да се обезбедат квалитетни влезни информации за системот за предвидување вештини.  Овој пристап ќе и помогне на АВРМ да се приближи до работодавачите и да нуди специјализирани услуги за ангажирање и развој на човечки ресурси (анализа на работните места и задачи, проверка на кратките биографии, стандардизирани интервјуа со личен контакт или преку телефон).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До крајот на 2014 година АВРМ примила над 4.400 барања за посредување при вработување, од кои што 65 проценти биле реализирани. Со оглед на тоа што усогласувањето на понудата и побарувачката на пазарот на трудот е една од основните услуги што ја нудат модерните јавни агенции за вработување, АВРМ ќе вложи напори да го зголеми својот пробив на пазарот преку нудење услуги за посредување при вработувањето на сите работодавачи што огласуваат слободни работни места и преку електронско поврзување на новопријавените баратели на работа со достапните слободни работни места. </w:t>
      </w:r>
    </w:p>
    <w:p w:rsidR="008A3D6C" w:rsidRDefault="008A3D6C">
      <w:pPr>
        <w:rPr>
          <w:rFonts w:ascii="StobiSerif Regular" w:hAnsi="StobiSerif Regular" w:cs="StobiSerif Regular"/>
          <w:sz w:val="22"/>
          <w:szCs w:val="22"/>
        </w:rPr>
      </w:pPr>
      <w:r>
        <w:rPr>
          <w:rFonts w:ascii="StobiSerif Regular" w:hAnsi="StobiSerif Regular" w:cs="StobiSerif Regular"/>
          <w:sz w:val="22"/>
          <w:szCs w:val="22"/>
        </w:rPr>
        <w:br w:type="page"/>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rPr>
        <w:t>Исход 3</w:t>
      </w:r>
      <w:r w:rsidRPr="00BF7955">
        <w:rPr>
          <w:rFonts w:ascii="StobiSerif Regular" w:hAnsi="StobiSerif Regular" w:cs="StobiSerif Regular"/>
          <w:i/>
          <w:iCs/>
          <w:sz w:val="22"/>
          <w:szCs w:val="22"/>
          <w:lang w:val="mk-MK"/>
        </w:rPr>
        <w:t>.</w:t>
      </w:r>
      <w:r w:rsidRPr="00BF7955">
        <w:rPr>
          <w:rFonts w:ascii="StobiSerif Regular" w:hAnsi="StobiSerif Regular" w:cs="StobiSerif Regular"/>
          <w:i/>
          <w:iCs/>
          <w:sz w:val="22"/>
          <w:szCs w:val="22"/>
        </w:rPr>
        <w:t xml:space="preserve">3.1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Работодавачите се мапирани од страна на центрите за вработување и им се нудат услуги за анализа на работните места и задачи и развој на човечките ресурси од страна на квалификуван персонал;</w:t>
      </w:r>
    </w:p>
    <w:p w:rsidR="008A3D6C" w:rsidRPr="00BF7955" w:rsidRDefault="008A3D6C" w:rsidP="00E73238">
      <w:pPr>
        <w:jc w:val="both"/>
        <w:rPr>
          <w:rFonts w:ascii="StobiSerif Regular" w:hAnsi="StobiSerif Regular" w:cs="StobiSerif Regular"/>
          <w:i/>
          <w:iCs/>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i/>
          <w:iCs/>
          <w:sz w:val="22"/>
          <w:szCs w:val="22"/>
        </w:rPr>
        <w:t>Исход 3</w:t>
      </w:r>
      <w:r w:rsidRPr="00BF7955">
        <w:rPr>
          <w:rFonts w:ascii="StobiSerif Regular" w:hAnsi="StobiSerif Regular" w:cs="StobiSerif Regular"/>
          <w:i/>
          <w:iCs/>
          <w:sz w:val="22"/>
          <w:szCs w:val="22"/>
          <w:lang w:val="mk-MK"/>
        </w:rPr>
        <w:t>.</w:t>
      </w:r>
      <w:r w:rsidRPr="00BF7955">
        <w:rPr>
          <w:rFonts w:ascii="StobiSerif Regular" w:hAnsi="StobiSerif Regular" w:cs="StobiSerif Regular"/>
          <w:i/>
          <w:iCs/>
          <w:sz w:val="22"/>
          <w:szCs w:val="22"/>
        </w:rPr>
        <w:t xml:space="preserve">3.2 </w:t>
      </w:r>
    </w:p>
    <w:p w:rsidR="008A3D6C"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Пристапот кон собирањето и објавувањето на слободните работни места е приспособен за целите на обезбедувањето реалистични информации на младите невработени лица и обезбедувањето веродостојни податоци за хранење на системот за предвидување вештини;</w:t>
      </w:r>
    </w:p>
    <w:p w:rsidR="008A3D6C" w:rsidRPr="00BF7955" w:rsidRDefault="008A3D6C" w:rsidP="00E73238">
      <w:pPr>
        <w:jc w:val="both"/>
        <w:rPr>
          <w:rFonts w:ascii="StobiSerif Regular" w:hAnsi="StobiSerif Regular" w:cs="StobiSerif Regular"/>
          <w:sz w:val="22"/>
          <w:szCs w:val="22"/>
        </w:rPr>
      </w:pPr>
    </w:p>
    <w:p w:rsidR="008A3D6C" w:rsidRPr="000E5003" w:rsidRDefault="008A3D6C" w:rsidP="000E5003">
      <w:pPr>
        <w:rPr>
          <w:rFonts w:ascii="StobiSerif Regular" w:hAnsi="StobiSerif Regular" w:cs="StobiSerif Regular"/>
          <w:sz w:val="22"/>
          <w:szCs w:val="22"/>
        </w:rPr>
      </w:pPr>
      <w:r w:rsidRPr="00BF7955">
        <w:rPr>
          <w:rFonts w:ascii="StobiSerif Regular" w:hAnsi="StobiSerif Regular" w:cs="StobiSerif Regular"/>
          <w:i/>
          <w:iCs/>
          <w:sz w:val="22"/>
          <w:szCs w:val="22"/>
        </w:rPr>
        <w:t>Исход 3</w:t>
      </w:r>
      <w:r w:rsidRPr="00BF7955">
        <w:rPr>
          <w:rFonts w:ascii="StobiSerif Regular" w:hAnsi="StobiSerif Regular" w:cs="StobiSerif Regular"/>
          <w:i/>
          <w:iCs/>
          <w:sz w:val="22"/>
          <w:szCs w:val="22"/>
          <w:lang w:val="mk-MK"/>
        </w:rPr>
        <w:t>.</w:t>
      </w:r>
      <w:r w:rsidRPr="00BF7955">
        <w:rPr>
          <w:rFonts w:ascii="StobiSerif Regular" w:hAnsi="StobiSerif Regular" w:cs="StobiSerif Regular"/>
          <w:i/>
          <w:iCs/>
          <w:sz w:val="22"/>
          <w:szCs w:val="22"/>
        </w:rPr>
        <w:t xml:space="preserve">3.3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Службите за посредување при вработување се зајакнати и им помагаат младите лица што за првпат бараат работа да најдат можности на пазарот на трудот.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br w:type="page"/>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b/>
          <w:bCs/>
          <w:color w:val="0070C0"/>
          <w:sz w:val="22"/>
          <w:szCs w:val="22"/>
        </w:rPr>
      </w:pPr>
      <w:r w:rsidRPr="00BF7955">
        <w:rPr>
          <w:rFonts w:ascii="StobiSerif Regular" w:hAnsi="StobiSerif Regular" w:cs="StobiSerif Regular"/>
          <w:b/>
          <w:bCs/>
          <w:color w:val="0070C0"/>
          <w:sz w:val="22"/>
          <w:szCs w:val="22"/>
        </w:rPr>
        <w:t>4. Ресурси</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Вкупните трошоци на </w:t>
      </w:r>
      <w:r w:rsidRPr="00BF7955">
        <w:rPr>
          <w:rFonts w:ascii="StobiSerif Regular" w:hAnsi="StobiSerif Regular" w:cs="StobiSerif Regular"/>
          <w:i/>
          <w:iCs/>
          <w:sz w:val="22"/>
          <w:szCs w:val="22"/>
        </w:rPr>
        <w:t>Акцискиот план за вработување млади лица</w:t>
      </w:r>
      <w:r w:rsidRPr="00BF7955">
        <w:rPr>
          <w:rFonts w:ascii="StobiSerif Regular" w:hAnsi="StobiSerif Regular" w:cs="StobiSerif Regular"/>
          <w:sz w:val="22"/>
          <w:szCs w:val="22"/>
        </w:rPr>
        <w:t xml:space="preserve"> е проценет на 30.950.000 евра за период од пет години, исклучувајќи ги трошоците за следење и оценување. Табела 6 на крајот на ова поглавје дава резимиран преглед на предвидените трошоци за секој исход и соодветните извори за финансирање.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b/>
          <w:bCs/>
          <w:i/>
          <w:iCs/>
          <w:sz w:val="22"/>
          <w:szCs w:val="22"/>
        </w:rPr>
        <w:t>Исход 1</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1 – </w:t>
      </w:r>
      <w:r w:rsidRPr="00BF7955">
        <w:rPr>
          <w:rFonts w:ascii="StobiSerif Regular" w:hAnsi="StobiSerif Regular" w:cs="StobiSerif Regular"/>
          <w:i/>
          <w:iCs/>
          <w:sz w:val="22"/>
          <w:szCs w:val="22"/>
        </w:rPr>
        <w:t>Системот за предвидување на вештините е развиен и обезбедува информации за креирањето на политиките за образование и за пазарот на трудот, како и за изборите што ги прават младите луѓе (1,4 милиони евра)</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Одговорноста за овој исход е првенствено во надлежноста на Министерството за труд и социјална политика, во партнерство со Агенцијата за вработување на Република Македонија, Министерството за образование и наука и мрежата на македонски младински невладини организации. Развојот на моделот за предвидување вештини се проценува дека ќе чини приближно 450.000 евра (вклучувајќи софтвер, методологија и градење на капацитетите). Трошоците за надградба на базата на податоци на АВРМ за слободните работни места (шифрирање на занимањата, описи на работните места и ИТ систем) се проценети на 300.000 евра за целиот период. Секторските истражувања ќе чинат приближно по 50.000 евра (по едно годишно, треба да бидат нарачани од приватните истражувачки институции од страна на МТСП, сè додека не се основаат секторските совети од НРК). Изготвувањето на </w:t>
      </w:r>
      <w:r w:rsidRPr="00BF7955">
        <w:rPr>
          <w:rFonts w:ascii="StobiSerif Regular" w:hAnsi="StobiSerif Regular" w:cs="StobiSerif Regular"/>
          <w:i/>
          <w:iCs/>
          <w:sz w:val="22"/>
          <w:szCs w:val="22"/>
        </w:rPr>
        <w:t xml:space="preserve">Прирачникот за перспективни занимања </w:t>
      </w:r>
      <w:r w:rsidRPr="00BF7955">
        <w:rPr>
          <w:rFonts w:ascii="StobiSerif Regular" w:hAnsi="StobiSerif Regular" w:cs="StobiSerif Regular"/>
          <w:sz w:val="22"/>
          <w:szCs w:val="22"/>
        </w:rPr>
        <w:t xml:space="preserve">ќе чини приближно 50.000 евра годишно (МТСП треба да склучи договор со изведувач врз основа на достапните податоци). Дисеминацијата на </w:t>
      </w:r>
      <w:r w:rsidRPr="00BF7955">
        <w:rPr>
          <w:rFonts w:ascii="StobiSerif Regular" w:hAnsi="StobiSerif Regular" w:cs="StobiSerif Regular"/>
          <w:i/>
          <w:iCs/>
          <w:sz w:val="22"/>
          <w:szCs w:val="22"/>
        </w:rPr>
        <w:t xml:space="preserve">Прирачникот за перспективни занимања </w:t>
      </w:r>
      <w:r w:rsidRPr="00BF7955">
        <w:rPr>
          <w:rFonts w:ascii="StobiSerif Regular" w:hAnsi="StobiSerif Regular" w:cs="StobiSerif Regular"/>
          <w:sz w:val="22"/>
          <w:szCs w:val="22"/>
        </w:rPr>
        <w:t xml:space="preserve">преку различни средства (веб страни и кампањи за подигање на свеста) ќе чини приближно 50.000 евра за целиот период. Трошоците за активностите за информирање, обука и подигање на свеста на мрежата на младински НВО се проценети на 100.000 за целиот период. </w:t>
      </w:r>
    </w:p>
    <w:p w:rsidR="008A3D6C" w:rsidRPr="00BF7955" w:rsidRDefault="008A3D6C" w:rsidP="00E73238">
      <w:pPr>
        <w:jc w:val="both"/>
        <w:rPr>
          <w:rFonts w:ascii="StobiSerif Regular" w:hAnsi="StobiSerif Regular" w:cs="StobiSerif Regular"/>
          <w:b/>
          <w:bCs/>
          <w:i/>
          <w:iCs/>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b/>
          <w:bCs/>
          <w:i/>
          <w:iCs/>
          <w:sz w:val="22"/>
          <w:szCs w:val="22"/>
        </w:rPr>
        <w:t>Исход 1</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2 – </w:t>
      </w:r>
      <w:r w:rsidRPr="00BF7955">
        <w:rPr>
          <w:rFonts w:ascii="StobiSerif Regular" w:hAnsi="StobiSerif Regular" w:cs="StobiSerif Regular"/>
          <w:i/>
          <w:iCs/>
          <w:sz w:val="22"/>
          <w:szCs w:val="22"/>
        </w:rPr>
        <w:t>Образовните исходи на младите македонски граѓани се подобруваат со текот на времето и соодветствуваат на барањата на пазарот на трудот (7,660,000 евра)</w:t>
      </w:r>
    </w:p>
    <w:p w:rsidR="008A3D6C" w:rsidRPr="00BF7955" w:rsidRDefault="008A3D6C" w:rsidP="00E73238">
      <w:pPr>
        <w:jc w:val="both"/>
        <w:rPr>
          <w:rStyle w:val="Strong"/>
          <w:rFonts w:ascii="StobiSerif Regular" w:hAnsi="StobiSerif Regular" w:cs="StobiSerif Regular"/>
          <w:b w:val="0"/>
          <w:bCs w:val="0"/>
          <w:sz w:val="22"/>
          <w:szCs w:val="22"/>
        </w:rPr>
      </w:pPr>
      <w:r w:rsidRPr="00BF7955">
        <w:rPr>
          <w:rFonts w:ascii="StobiSerif Regular" w:hAnsi="StobiSerif Regular" w:cs="StobiSerif Regular"/>
          <w:b/>
          <w:bCs/>
          <w:sz w:val="22"/>
          <w:szCs w:val="22"/>
        </w:rPr>
        <w:t>Министерството за образование и наука (МОН) ја има примарната одговорност за постигнувањето на овие исходи.</w:t>
      </w:r>
      <w:r w:rsidRPr="00BF7955">
        <w:rPr>
          <w:rStyle w:val="Strong"/>
          <w:rFonts w:ascii="StobiSerif Regular" w:hAnsi="StobiSerif Regular" w:cs="StobiSerif Regular"/>
          <w:sz w:val="22"/>
          <w:szCs w:val="22"/>
        </w:rPr>
        <w:t xml:space="preserve"> </w:t>
      </w:r>
      <w:r w:rsidRPr="00BF7955">
        <w:rPr>
          <w:rFonts w:ascii="StobiSerif Regular" w:hAnsi="StobiSerif Regular" w:cs="StobiSerif Regular"/>
          <w:b/>
          <w:bCs/>
          <w:sz w:val="22"/>
          <w:szCs w:val="22"/>
        </w:rPr>
        <w:t xml:space="preserve">Усогласување на програмите за образование и обука со барањата на пазарот на трудот се проценува дека ќе чини </w:t>
      </w:r>
      <w:r w:rsidRPr="00BF7955">
        <w:rPr>
          <w:rStyle w:val="Strong"/>
          <w:rFonts w:ascii="StobiSerif Regular" w:hAnsi="StobiSerif Regular" w:cs="StobiSerif Regular"/>
          <w:sz w:val="22"/>
          <w:szCs w:val="22"/>
        </w:rPr>
        <w:t xml:space="preserve">50.000 евра годишно, додека, пак, организирањето на редовните оценувања во рамките на PISA и TIMSS изнесува приближно 40.000 евра по циклус (четири циклуси во периодот на Акцискиот план). </w:t>
      </w:r>
      <w:r w:rsidRPr="00BF7955">
        <w:rPr>
          <w:rFonts w:ascii="StobiSerif Regular" w:hAnsi="StobiSerif Regular" w:cs="StobiSerif Regular"/>
          <w:b/>
          <w:bCs/>
          <w:sz w:val="22"/>
          <w:szCs w:val="22"/>
        </w:rPr>
        <w:t xml:space="preserve">Системот за стипендирање на дефицитарните занимања се проценува дека ќе чини приближно </w:t>
      </w:r>
      <w:r w:rsidRPr="00BF7955">
        <w:rPr>
          <w:rStyle w:val="Strong"/>
          <w:rFonts w:ascii="StobiSerif Regular" w:hAnsi="StobiSerif Regular" w:cs="StobiSerif Regular"/>
          <w:sz w:val="22"/>
          <w:szCs w:val="22"/>
        </w:rPr>
        <w:t xml:space="preserve">5.250.000 евра (по 1.500 евра за 3.500 студенти во текот на периодот). </w:t>
      </w:r>
      <w:r w:rsidRPr="00BF7955">
        <w:rPr>
          <w:rFonts w:ascii="StobiSerif Regular" w:hAnsi="StobiSerif Regular" w:cs="StobiSerif Regular"/>
          <w:b/>
          <w:bCs/>
          <w:sz w:val="22"/>
          <w:szCs w:val="22"/>
        </w:rPr>
        <w:t>Трошоците за студиите за следење се веќе предвидени во рамките на иницијативата за Опсерваторијата на вештини.</w:t>
      </w:r>
      <w:r w:rsidRPr="00BF7955">
        <w:rPr>
          <w:rStyle w:val="Strong"/>
          <w:rFonts w:ascii="StobiSerif Regular" w:hAnsi="StobiSerif Regular" w:cs="StobiSerif Regular"/>
          <w:sz w:val="22"/>
          <w:szCs w:val="22"/>
        </w:rPr>
        <w:t xml:space="preserve"> </w:t>
      </w:r>
      <w:r w:rsidRPr="00BF7955">
        <w:rPr>
          <w:rFonts w:ascii="StobiSerif Regular" w:hAnsi="StobiSerif Regular" w:cs="StobiSerif Regular"/>
          <w:b/>
          <w:bCs/>
          <w:sz w:val="22"/>
          <w:szCs w:val="22"/>
        </w:rPr>
        <w:t xml:space="preserve">Механизмите за рана идентификација и соодветните услуги за поддршка ќе чинат приближно </w:t>
      </w:r>
      <w:r w:rsidRPr="00BF7955">
        <w:rPr>
          <w:rStyle w:val="Strong"/>
          <w:rFonts w:ascii="StobiSerif Regular" w:hAnsi="StobiSerif Regular" w:cs="StobiSerif Regular"/>
          <w:sz w:val="22"/>
          <w:szCs w:val="22"/>
        </w:rPr>
        <w:t xml:space="preserve">50.000 евра годишно, додека, пак, системот за стипендирање на учениците под ризик (како дел од пакетот услуги за задржување на младите лица под ризик на училиште) ќе чини 1,5 милиони евра за целиот период. </w:t>
      </w:r>
      <w:r w:rsidRPr="00BF7955">
        <w:rPr>
          <w:rFonts w:ascii="StobiSerif Regular" w:hAnsi="StobiSerif Regular" w:cs="StobiSerif Regular"/>
          <w:b/>
          <w:bCs/>
          <w:sz w:val="22"/>
          <w:szCs w:val="22"/>
        </w:rPr>
        <w:t xml:space="preserve">Кратките ISCED 3 програми ќе чинат приближно </w:t>
      </w:r>
      <w:r w:rsidRPr="00BF7955">
        <w:rPr>
          <w:rStyle w:val="Strong"/>
          <w:rFonts w:ascii="StobiSerif Regular" w:hAnsi="StobiSerif Regular" w:cs="StobiSerif Regular"/>
          <w:sz w:val="22"/>
          <w:szCs w:val="22"/>
        </w:rPr>
        <w:t xml:space="preserve">50.000 евра годишно. </w:t>
      </w:r>
      <w:r w:rsidRPr="00BF7955">
        <w:rPr>
          <w:rFonts w:ascii="StobiSerif Regular" w:hAnsi="StobiSerif Regular" w:cs="StobiSerif Regular"/>
          <w:b/>
          <w:bCs/>
          <w:sz w:val="22"/>
          <w:szCs w:val="22"/>
        </w:rPr>
        <w:t xml:space="preserve">Средствата за постигнувањето на овој исход веќе се обезбедени преку заем од Светска банка за проектот  </w:t>
      </w:r>
      <w:r w:rsidRPr="00BF7955">
        <w:rPr>
          <w:rFonts w:ascii="StobiSerif Regular" w:hAnsi="StobiSerif Regular" w:cs="StobiSerif Regular"/>
          <w:b/>
          <w:bCs/>
          <w:i/>
          <w:iCs/>
          <w:sz w:val="22"/>
          <w:szCs w:val="22"/>
        </w:rPr>
        <w:t xml:space="preserve">Модернизација на средното техничко стручно образование и обука </w:t>
      </w:r>
      <w:r w:rsidRPr="00BF7955">
        <w:rPr>
          <w:rFonts w:ascii="StobiSerif Regular" w:hAnsi="StobiSerif Regular" w:cs="StobiSerif Regular"/>
          <w:b/>
          <w:bCs/>
          <w:sz w:val="22"/>
          <w:szCs w:val="22"/>
        </w:rPr>
        <w:t xml:space="preserve">(приближно 4 милиони евра) и износот од 2,3 милиони евра што е распределен од страна на Владата и ИПА за </w:t>
      </w:r>
      <w:r w:rsidRPr="00BF7955">
        <w:rPr>
          <w:rFonts w:ascii="StobiSerif Regular" w:hAnsi="StobiSerif Regular" w:cs="StobiSerif Regular"/>
          <w:b/>
          <w:bCs/>
          <w:i/>
          <w:iCs/>
          <w:sz w:val="22"/>
          <w:szCs w:val="22"/>
        </w:rPr>
        <w:t>Проектот за промовирање на доживотното учење.</w:t>
      </w:r>
      <w:r w:rsidRPr="00BF7955">
        <w:rPr>
          <w:rStyle w:val="Strong"/>
          <w:rFonts w:ascii="StobiSerif Regular" w:hAnsi="StobiSerif Regular" w:cs="StobiSerif Regular"/>
          <w:sz w:val="22"/>
          <w:szCs w:val="22"/>
        </w:rPr>
        <w:t xml:space="preserve"> </w:t>
      </w:r>
      <w:r w:rsidRPr="00BF7955">
        <w:rPr>
          <w:rFonts w:ascii="StobiSerif Regular" w:hAnsi="StobiSerif Regular" w:cs="StobiSerif Regular"/>
          <w:b/>
          <w:bCs/>
          <w:sz w:val="22"/>
          <w:szCs w:val="22"/>
        </w:rPr>
        <w:t xml:space="preserve">Дополнителен износ од </w:t>
      </w:r>
      <w:r w:rsidRPr="00BF7955">
        <w:rPr>
          <w:rStyle w:val="Strong"/>
          <w:rFonts w:ascii="StobiSerif Regular" w:hAnsi="StobiSerif Regular" w:cs="StobiSerif Regular"/>
          <w:sz w:val="22"/>
          <w:szCs w:val="22"/>
        </w:rPr>
        <w:t xml:space="preserve">1.360.000 евра (пред сè за проширување на системот за стипендирање) ќе биде обезбеден од страна на Владата. </w:t>
      </w:r>
    </w:p>
    <w:p w:rsidR="008A3D6C" w:rsidRPr="00BF7955" w:rsidRDefault="008A3D6C" w:rsidP="00E73238">
      <w:pPr>
        <w:jc w:val="both"/>
        <w:rPr>
          <w:rStyle w:val="Strong"/>
          <w:rFonts w:ascii="StobiSerif Regular" w:hAnsi="StobiSerif Regular" w:cs="StobiSerif Regular"/>
          <w:b w:val="0"/>
          <w:bCs w:val="0"/>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b/>
          <w:bCs/>
          <w:i/>
          <w:iCs/>
          <w:sz w:val="22"/>
          <w:szCs w:val="22"/>
        </w:rPr>
        <w:t>Исход 1</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3 – </w:t>
      </w:r>
      <w:r w:rsidRPr="00BF7955">
        <w:rPr>
          <w:rFonts w:ascii="StobiSerif Regular" w:hAnsi="StobiSerif Regular" w:cs="StobiSerif Regular"/>
          <w:i/>
          <w:iCs/>
          <w:sz w:val="22"/>
          <w:szCs w:val="22"/>
        </w:rPr>
        <w:t>Младите луѓе имаат пристап до квалитетна настава и услуги за кариерно насочување (2 милиони евра)</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 xml:space="preserve">Постигнувањето на овој исход е во надлежност на МОН, МТСП и АВРМ. Од Министерството за образование се очекува да инвестира приближно 500.000 евра во интегрирањето на наставата за кариерно насочување во училиштата (изготвување на наставните програми и наставните материјали за наставниците), додека, пак, АВРМ ќе вложи приближно 1,5 милиони евра за целиот период за обезбедување информации за пазарот на трудот и услуги за советување и насочување за младите баратели на работа.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b/>
          <w:bCs/>
          <w:i/>
          <w:iCs/>
          <w:sz w:val="22"/>
          <w:szCs w:val="22"/>
        </w:rPr>
        <w:t>Исход 2</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1 – </w:t>
      </w:r>
      <w:r w:rsidRPr="00BF7955">
        <w:rPr>
          <w:rFonts w:ascii="StobiSerif Regular" w:hAnsi="StobiSerif Regular" w:cs="StobiSerif Regular"/>
          <w:i/>
          <w:iCs/>
          <w:sz w:val="22"/>
          <w:szCs w:val="22"/>
        </w:rPr>
        <w:t>Воспоставен е пакет од стимулации за унапредување на капацитетот на претпријатијата за отворање работни места за младите лица (12.340.000 евра)</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Исполнувањето на овој исход е во надлежност на Министерството за економија, Министерството за финансии,</w:t>
      </w:r>
      <w:r>
        <w:rPr>
          <w:rFonts w:ascii="StobiSerif Regular" w:hAnsi="StobiSerif Regular" w:cs="StobiSerif Regular"/>
          <w:sz w:val="22"/>
          <w:szCs w:val="22"/>
          <w:lang w:val="mk-MK"/>
        </w:rPr>
        <w:t xml:space="preserve"> Министерството за труд и социјална политика,</w:t>
      </w:r>
      <w:r w:rsidRPr="00BF7955">
        <w:rPr>
          <w:rFonts w:ascii="StobiSerif Regular" w:hAnsi="StobiSerif Regular" w:cs="StobiSerif Regular"/>
          <w:sz w:val="22"/>
          <w:szCs w:val="22"/>
        </w:rPr>
        <w:t xml:space="preserve"> Агенцијата за вработување на Република Македонија, Агенцијата за поддршка на претприемништвото на Република Македонија (АППРМ) и </w:t>
      </w:r>
      <w:r w:rsidRPr="00BF7955">
        <w:rPr>
          <w:rFonts w:ascii="StobiSerif Regular" w:hAnsi="StobiSerif Regular" w:cs="StobiSerif Regular"/>
          <w:i/>
          <w:iCs/>
          <w:sz w:val="22"/>
          <w:szCs w:val="22"/>
        </w:rPr>
        <w:t xml:space="preserve">Фондот за иновации и технолошки развој </w:t>
      </w:r>
      <w:r w:rsidRPr="00BF7955">
        <w:rPr>
          <w:rFonts w:ascii="StobiSerif Regular" w:hAnsi="StobiSerif Regular" w:cs="StobiSerif Regular"/>
          <w:sz w:val="22"/>
          <w:szCs w:val="22"/>
        </w:rPr>
        <w:t xml:space="preserve">(ФИТР). Трошоците за услугите за посредување, програмите за субвенционирање и обука што АВРМ треба да им ги обезбеди на претпријатијата што се вклучени во развојот на инфраструктурата веќе се вклучени во зголемениот буџет за АППТ (видете Исход 3,1). Продолжувањето на примената на системот на даночни олеснувања (член 98 на </w:t>
      </w:r>
      <w:r w:rsidRPr="00BF7955">
        <w:rPr>
          <w:rFonts w:ascii="StobiSerif Regular" w:hAnsi="StobiSerif Regular" w:cs="StobiSerif Regular"/>
          <w:i/>
          <w:iCs/>
          <w:sz w:val="22"/>
          <w:szCs w:val="22"/>
        </w:rPr>
        <w:t>Законот за вработување и осигурување во случај на невработеност</w:t>
      </w:r>
      <w:r w:rsidRPr="00BF7955">
        <w:rPr>
          <w:rFonts w:ascii="StobiSerif Regular" w:hAnsi="StobiSerif Regular" w:cs="StobiSerif Regular"/>
          <w:sz w:val="22"/>
          <w:szCs w:val="22"/>
        </w:rPr>
        <w:t xml:space="preserve">)  по 2016 година за младите работници се проценува дека ќе го чини државниот буџет приближно 2.040.000 евра за 3.000 вработени млади работници. Цената на чинење на услугите за развој на деловното работење за претпријатијата што сакаат да добијат пристап до кредитните линии на Македонската банка за поддршка на развојот се проценува дека ќе изнесува приближно €00.000 евра за целиот период (т.е., годишно распределените средства за шемите за ваучери ќе бидат двојно зголемени). </w:t>
      </w:r>
      <w:r w:rsidRPr="00BF7955">
        <w:rPr>
          <w:rFonts w:ascii="StobiSerif Regular" w:hAnsi="StobiSerif Regular" w:cs="StobiSerif Regular"/>
          <w:i/>
          <w:iCs/>
          <w:sz w:val="22"/>
          <w:szCs w:val="22"/>
        </w:rPr>
        <w:t xml:space="preserve">Фондот за иновации и технолошки развој </w:t>
      </w:r>
      <w:r w:rsidRPr="00BF7955">
        <w:rPr>
          <w:rFonts w:ascii="StobiSerif Regular" w:hAnsi="StobiSerif Regular" w:cs="StobiSerif Regular"/>
          <w:sz w:val="22"/>
          <w:szCs w:val="22"/>
        </w:rPr>
        <w:t xml:space="preserve">ќе инвестира приближно 9,4 милиони евра во шемите за грантови.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b/>
          <w:bCs/>
          <w:i/>
          <w:iCs/>
          <w:sz w:val="22"/>
          <w:szCs w:val="22"/>
        </w:rPr>
        <w:t>Исход 3</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1 – </w:t>
      </w:r>
      <w:r w:rsidRPr="00BF7955">
        <w:rPr>
          <w:rFonts w:ascii="StobiSerif Regular" w:hAnsi="StobiSerif Regular" w:cs="StobiSerif Regular"/>
          <w:i/>
          <w:iCs/>
          <w:sz w:val="22"/>
          <w:szCs w:val="22"/>
        </w:rPr>
        <w:t>Процесот на модернизација на Агенцијата за вработување на Република Македонија е забрзан (3 милиони евра)</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lang w:eastAsia="it-IT"/>
        </w:rPr>
        <w:t>Овој исход на политиката е во надлежност на МТСП и АВРМ. Се очекува дека АВРМ ќе вложи приближно 2 милиони евра во текот на периодот за спроведување на планот за развој на инфраструктура/реновирање.</w:t>
      </w:r>
      <w:r w:rsidRPr="00BF7955">
        <w:rPr>
          <w:rFonts w:ascii="StobiSerif Regular" w:hAnsi="StobiSerif Regular" w:cs="StobiSerif Regular"/>
          <w:sz w:val="22"/>
          <w:szCs w:val="22"/>
        </w:rPr>
        <w:t xml:space="preserve"> Планот за вработување и обука ќе чини дополнителни 200.000 евра годишно од буџетот на АВРМ. Новата формула за финансирање на центрите за вработување ќе има корист од годишното зголемување на распределените средства за АППТ (зголемување од 500.000 евра годишно, веќе е земено предвид во рамките на Исход 3</w:t>
      </w:r>
      <w:r w:rsidRPr="00BF7955">
        <w:rPr>
          <w:rFonts w:ascii="StobiSerif Regular" w:hAnsi="StobiSerif Regular" w:cs="StobiSerif Regular"/>
          <w:sz w:val="22"/>
          <w:szCs w:val="22"/>
          <w:lang w:val="mk-MK"/>
        </w:rPr>
        <w:t>.</w:t>
      </w:r>
      <w:r w:rsidRPr="00BF7955">
        <w:rPr>
          <w:rFonts w:ascii="StobiSerif Regular" w:hAnsi="StobiSerif Regular" w:cs="StobiSerif Regular"/>
          <w:sz w:val="22"/>
          <w:szCs w:val="22"/>
        </w:rPr>
        <w:t xml:space="preserve">2). </w:t>
      </w:r>
    </w:p>
    <w:p w:rsidR="008A3D6C" w:rsidRPr="00BF7955" w:rsidRDefault="008A3D6C" w:rsidP="00E73238">
      <w:pPr>
        <w:jc w:val="both"/>
        <w:rPr>
          <w:rFonts w:ascii="StobiSerif Regular" w:hAnsi="StobiSerif Regular" w:cs="StobiSerif Regular"/>
          <w:sz w:val="22"/>
          <w:szCs w:val="22"/>
        </w:rPr>
      </w:pPr>
    </w:p>
    <w:p w:rsidR="008A3D6C" w:rsidRPr="00BF7955" w:rsidRDefault="008A3D6C" w:rsidP="00E73238">
      <w:pPr>
        <w:jc w:val="both"/>
        <w:rPr>
          <w:rFonts w:ascii="StobiSerif Regular" w:hAnsi="StobiSerif Regular" w:cs="StobiSerif Regular"/>
          <w:b/>
          <w:bCs/>
          <w:i/>
          <w:iCs/>
          <w:sz w:val="22"/>
          <w:szCs w:val="22"/>
        </w:rPr>
      </w:pPr>
      <w:r w:rsidRPr="00BF7955">
        <w:rPr>
          <w:rFonts w:ascii="StobiSerif Regular" w:hAnsi="StobiSerif Regular" w:cs="StobiSerif Regular"/>
          <w:b/>
          <w:bCs/>
          <w:i/>
          <w:iCs/>
          <w:sz w:val="22"/>
          <w:szCs w:val="22"/>
        </w:rPr>
        <w:t>Исход 3</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2 – </w:t>
      </w:r>
      <w:r w:rsidRPr="00BF7955">
        <w:rPr>
          <w:rFonts w:ascii="StobiSerif Regular" w:hAnsi="StobiSerif Regular" w:cs="StobiSerif Regular"/>
          <w:i/>
          <w:iCs/>
          <w:sz w:val="22"/>
          <w:szCs w:val="22"/>
        </w:rPr>
        <w:t>Механизмите за спроведување и финансирање на активните политики на пазарот на трудот се приспособени за исполнување на потребите на младите невработени лица (3.950.000 евра)</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Овој исход на политиката е во надлежност на МТСП и АВРМ. За интегрирање на системот за профилирање во сите центри за вработување ќе биде потребно да се надгради ИТ платформата (проценета цена на чинење од 600.000 евра, вклучувајќи ја надградбата на базата на податоци за слободните работни места што веќе е земена предвид во рамките на Исход 1</w:t>
      </w:r>
      <w:r w:rsidRPr="00BF7955">
        <w:rPr>
          <w:rFonts w:ascii="StobiSerif Regular" w:hAnsi="StobiSerif Regular" w:cs="StobiSerif Regular"/>
          <w:sz w:val="22"/>
          <w:szCs w:val="22"/>
          <w:lang w:val="mk-MK"/>
        </w:rPr>
        <w:t>.</w:t>
      </w:r>
      <w:r w:rsidRPr="00BF7955">
        <w:rPr>
          <w:rFonts w:ascii="StobiSerif Regular" w:hAnsi="StobiSerif Regular" w:cs="StobiSerif Regular"/>
          <w:sz w:val="22"/>
          <w:szCs w:val="22"/>
        </w:rPr>
        <w:t xml:space="preserve">1). Годишно распределените средства за АППТ ќе се зголемат за 500.000 евра секоја година. Трошоците за организирање на наменска линија услуги за младите невработени лица се проценуваат на 80.000 евра годишно, додека, пак, програмата </w:t>
      </w:r>
      <w:r w:rsidRPr="00BF7955">
        <w:rPr>
          <w:rFonts w:ascii="StobiSerif Regular" w:hAnsi="StobiSerif Regular" w:cs="StobiSerif Regular"/>
          <w:i/>
          <w:iCs/>
          <w:sz w:val="22"/>
          <w:szCs w:val="22"/>
        </w:rPr>
        <w:t>Старт за млади</w:t>
      </w:r>
      <w:r w:rsidRPr="00BF7955">
        <w:rPr>
          <w:rFonts w:ascii="StobiSerif Regular" w:hAnsi="StobiSerif Regular" w:cs="StobiSerif Regular"/>
          <w:sz w:val="22"/>
          <w:szCs w:val="22"/>
        </w:rPr>
        <w:t xml:space="preserve"> ќе чини приближно 150.000 евра годишно. </w:t>
      </w:r>
    </w:p>
    <w:p w:rsidR="008A3D6C" w:rsidRPr="00BF7955" w:rsidRDefault="008A3D6C" w:rsidP="00E73238">
      <w:pPr>
        <w:jc w:val="both"/>
        <w:rPr>
          <w:rFonts w:ascii="StobiSerif Regular" w:hAnsi="StobiSerif Regular" w:cs="StobiSerif Regular"/>
          <w:i/>
          <w:iCs/>
          <w:sz w:val="22"/>
          <w:szCs w:val="22"/>
        </w:rPr>
      </w:pPr>
    </w:p>
    <w:p w:rsidR="008A3D6C" w:rsidRPr="00BF7955" w:rsidRDefault="008A3D6C" w:rsidP="00E73238">
      <w:pPr>
        <w:jc w:val="both"/>
        <w:rPr>
          <w:rFonts w:ascii="StobiSerif Regular" w:hAnsi="StobiSerif Regular" w:cs="StobiSerif Regular"/>
          <w:i/>
          <w:iCs/>
          <w:sz w:val="22"/>
          <w:szCs w:val="22"/>
        </w:rPr>
      </w:pPr>
      <w:r w:rsidRPr="00BF7955">
        <w:rPr>
          <w:rFonts w:ascii="StobiSerif Regular" w:hAnsi="StobiSerif Regular" w:cs="StobiSerif Regular"/>
          <w:b/>
          <w:bCs/>
          <w:i/>
          <w:iCs/>
          <w:sz w:val="22"/>
          <w:szCs w:val="22"/>
        </w:rPr>
        <w:t>Исход 3</w:t>
      </w:r>
      <w:r w:rsidRPr="00BF7955">
        <w:rPr>
          <w:rFonts w:ascii="StobiSerif Regular" w:hAnsi="StobiSerif Regular" w:cs="StobiSerif Regular"/>
          <w:b/>
          <w:bCs/>
          <w:i/>
          <w:iCs/>
          <w:sz w:val="22"/>
          <w:szCs w:val="22"/>
          <w:lang w:val="mk-MK"/>
        </w:rPr>
        <w:t>.</w:t>
      </w:r>
      <w:r w:rsidRPr="00BF7955">
        <w:rPr>
          <w:rFonts w:ascii="StobiSerif Regular" w:hAnsi="StobiSerif Regular" w:cs="StobiSerif Regular"/>
          <w:b/>
          <w:bCs/>
          <w:i/>
          <w:iCs/>
          <w:sz w:val="22"/>
          <w:szCs w:val="22"/>
        </w:rPr>
        <w:t xml:space="preserve">3. </w:t>
      </w:r>
      <w:r w:rsidRPr="00BF7955">
        <w:rPr>
          <w:rFonts w:ascii="StobiSerif Regular" w:hAnsi="StobiSerif Regular" w:cs="StobiSerif Regular"/>
          <w:i/>
          <w:iCs/>
          <w:sz w:val="22"/>
          <w:szCs w:val="22"/>
        </w:rPr>
        <w:t xml:space="preserve">АВРМ нуди квалитетни услуги за работодавачите и на младите лица им обезбедува веродостоен преглед на слободните работни места (600.000 евра) </w:t>
      </w:r>
    </w:p>
    <w:p w:rsidR="008A3D6C" w:rsidRPr="00BF7955" w:rsidRDefault="008A3D6C" w:rsidP="00E73238">
      <w:pPr>
        <w:jc w:val="both"/>
        <w:rPr>
          <w:rFonts w:ascii="StobiSerif Regular" w:hAnsi="StobiSerif Regular" w:cs="StobiSerif Regular"/>
          <w:sz w:val="22"/>
          <w:szCs w:val="22"/>
        </w:rPr>
      </w:pPr>
      <w:r w:rsidRPr="00BF7955">
        <w:rPr>
          <w:rFonts w:ascii="StobiSerif Regular" w:hAnsi="StobiSerif Regular" w:cs="StobiSerif Regular"/>
          <w:sz w:val="22"/>
          <w:szCs w:val="22"/>
        </w:rPr>
        <w:t>Овој исход на политиката е во надлежност на МТСП и АВРМ. Развојот и обезбедувањето на квалитетни услуги за работодавачите се проценува дека ќе чини приближно 50.000 евра годишно. Новиот пристап кон собирањето податоци за слободните работни места и нивното огласување се проценува дека ќе чини 100.000 евра за периодот (плус надградбата на ИТ системот што веќе е земена предвид во рамки на Исход 1,1). Нудењето квалитетни услуги за посредување при вработување ќе чини приближно 50.000 евра годишно.</w:t>
      </w:r>
    </w:p>
    <w:p w:rsidR="008A3D6C" w:rsidRPr="00BF7955" w:rsidRDefault="008A3D6C" w:rsidP="00BF7955">
      <w:pPr>
        <w:rPr>
          <w:rFonts w:ascii="StobiSerif Regular" w:hAnsi="StobiSerif Regular" w:cs="StobiSerif Regular"/>
          <w:sz w:val="22"/>
          <w:szCs w:val="22"/>
        </w:rPr>
        <w:sectPr w:rsidR="008A3D6C" w:rsidRPr="00BF7955" w:rsidSect="00906518">
          <w:footerReference w:type="default" r:id="rId19"/>
          <w:pgSz w:w="12240" w:h="15840" w:code="1"/>
          <w:pgMar w:top="1440" w:right="1797" w:bottom="1440" w:left="1797" w:header="709" w:footer="709" w:gutter="0"/>
          <w:pgNumType w:fmt="numberInDash" w:start="1"/>
          <w:cols w:space="708"/>
          <w:docGrid w:linePitch="360"/>
        </w:sect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Табела 6: Резиме на трошоците и изворите за финансирање на Акцискиот план за вработување млади лица на Република Македонија </w:t>
      </w:r>
    </w:p>
    <w:tbl>
      <w:tblPr>
        <w:tblW w:w="141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99"/>
        <w:gridCol w:w="1559"/>
        <w:gridCol w:w="1567"/>
        <w:gridCol w:w="3117"/>
        <w:gridCol w:w="1700"/>
      </w:tblGrid>
      <w:tr w:rsidR="008A3D6C" w:rsidRPr="00BF7955">
        <w:tc>
          <w:tcPr>
            <w:tcW w:w="6204" w:type="dxa"/>
            <w:shd w:val="clear" w:color="auto" w:fill="CCFFFF"/>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Исход</w:t>
            </w:r>
          </w:p>
        </w:tc>
        <w:tc>
          <w:tcPr>
            <w:tcW w:w="1559" w:type="dxa"/>
            <w:shd w:val="clear" w:color="auto" w:fill="CCFFFF"/>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Севкупни трошоци</w:t>
            </w:r>
          </w:p>
        </w:tc>
        <w:tc>
          <w:tcPr>
            <w:tcW w:w="1559" w:type="dxa"/>
            <w:shd w:val="clear" w:color="auto" w:fill="CCFFFF"/>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Обезбедени</w:t>
            </w:r>
          </w:p>
        </w:tc>
        <w:tc>
          <w:tcPr>
            <w:tcW w:w="3119" w:type="dxa"/>
            <w:shd w:val="clear" w:color="auto" w:fill="CCFFFF"/>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Извор на обезбедените средства</w:t>
            </w:r>
          </w:p>
        </w:tc>
        <w:tc>
          <w:tcPr>
            <w:tcW w:w="1701" w:type="dxa"/>
            <w:shd w:val="clear" w:color="auto" w:fill="CCFFFF"/>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Износ што треба да се обезбеди</w:t>
            </w:r>
          </w:p>
        </w:tc>
      </w:tr>
      <w:tr w:rsidR="008A3D6C" w:rsidRPr="00BF7955">
        <w:tc>
          <w:tcPr>
            <w:tcW w:w="6204"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 xml:space="preserve">1.1 Системот за предвидување на вештините е развиен и обезбедува информации за креирањето на политиките за образование и за пазарот на трудот, како и за изборите што ги прават младите луѓе </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1.400.000</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0</w:t>
            </w:r>
          </w:p>
        </w:tc>
        <w:tc>
          <w:tcPr>
            <w:tcW w:w="3119" w:type="dxa"/>
            <w:vAlign w:val="center"/>
          </w:tcPr>
          <w:p w:rsidR="008A3D6C" w:rsidRPr="00F04D92" w:rsidRDefault="008A3D6C" w:rsidP="00BF7955">
            <w:pPr>
              <w:rPr>
                <w:rFonts w:ascii="StobiSerif Regular" w:hAnsi="StobiSerif Regular" w:cs="StobiSerif Regular"/>
                <w:sz w:val="20"/>
                <w:szCs w:val="20"/>
                <w:lang w:val="mk-MK"/>
              </w:rPr>
            </w:pPr>
          </w:p>
        </w:tc>
        <w:tc>
          <w:tcPr>
            <w:tcW w:w="1701"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1.400.000</w:t>
            </w:r>
          </w:p>
        </w:tc>
      </w:tr>
      <w:tr w:rsidR="008A3D6C" w:rsidRPr="00BF7955">
        <w:tc>
          <w:tcPr>
            <w:tcW w:w="6204"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 xml:space="preserve">1.2.Образовните исходи на младите македонски граѓани се подобруваат со текот на времето и соодветствуваат на барањата на пазарот на трудот </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7.660.000</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6.300,000</w:t>
            </w:r>
          </w:p>
        </w:tc>
        <w:tc>
          <w:tcPr>
            <w:tcW w:w="3119" w:type="dxa"/>
            <w:vAlign w:val="center"/>
          </w:tcPr>
          <w:p w:rsidR="008A3D6C" w:rsidRPr="00F04D92" w:rsidRDefault="008A3D6C" w:rsidP="00BF7955">
            <w:pPr>
              <w:rPr>
                <w:rStyle w:val="Strong"/>
                <w:rFonts w:ascii="StobiSerif Regular" w:hAnsi="StobiSerif Regular" w:cs="StobiSerif Regular"/>
                <w:b w:val="0"/>
                <w:bCs w:val="0"/>
                <w:sz w:val="20"/>
                <w:szCs w:val="20"/>
                <w:lang w:val="mk-MK"/>
              </w:rPr>
            </w:pPr>
            <w:r w:rsidRPr="00F04D92">
              <w:rPr>
                <w:rFonts w:ascii="StobiSerif Regular" w:hAnsi="StobiSerif Regular" w:cs="StobiSerif Regular"/>
                <w:b/>
                <w:bCs/>
                <w:i/>
                <w:iCs/>
                <w:sz w:val="20"/>
                <w:szCs w:val="20"/>
                <w:lang w:val="mk-MK"/>
              </w:rPr>
              <w:t>Модернизација на средното техничко стручно образование и обука (заем од Светска банка, 4 милиони евра)</w:t>
            </w:r>
            <w:r w:rsidRPr="00F04D92">
              <w:rPr>
                <w:rStyle w:val="Strong"/>
                <w:rFonts w:ascii="StobiSerif Regular" w:hAnsi="StobiSerif Regular" w:cs="StobiSerif Regular"/>
                <w:sz w:val="20"/>
                <w:szCs w:val="20"/>
                <w:lang w:val="mk-MK"/>
              </w:rPr>
              <w:t xml:space="preserve"> </w:t>
            </w:r>
          </w:p>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b/>
                <w:bCs/>
                <w:i/>
                <w:iCs/>
                <w:sz w:val="20"/>
                <w:szCs w:val="20"/>
                <w:lang w:val="mk-MK"/>
              </w:rPr>
              <w:t xml:space="preserve">Промовирање на доживотното учење </w:t>
            </w:r>
            <w:r w:rsidRPr="00F04D92">
              <w:rPr>
                <w:rFonts w:ascii="StobiSerif Regular" w:hAnsi="StobiSerif Regular" w:cs="StobiSerif Regular"/>
                <w:b/>
                <w:bCs/>
                <w:sz w:val="20"/>
                <w:szCs w:val="20"/>
                <w:lang w:val="mk-MK"/>
              </w:rPr>
              <w:t>(Влада и ИПА, 2,3 милиони евра)</w:t>
            </w:r>
          </w:p>
        </w:tc>
        <w:tc>
          <w:tcPr>
            <w:tcW w:w="1701"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1.360.000</w:t>
            </w:r>
          </w:p>
        </w:tc>
      </w:tr>
      <w:tr w:rsidR="008A3D6C" w:rsidRPr="00BF7955">
        <w:tc>
          <w:tcPr>
            <w:tcW w:w="6204"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 xml:space="preserve">1.3 Младите луѓе имаат пристап до квалитетна настава и услуги за кариерно насочување </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2.000.000</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0</w:t>
            </w:r>
          </w:p>
        </w:tc>
        <w:tc>
          <w:tcPr>
            <w:tcW w:w="3119" w:type="dxa"/>
            <w:vAlign w:val="center"/>
          </w:tcPr>
          <w:p w:rsidR="008A3D6C" w:rsidRPr="00F04D92" w:rsidRDefault="008A3D6C" w:rsidP="00BF7955">
            <w:pPr>
              <w:rPr>
                <w:rFonts w:ascii="StobiSerif Regular" w:hAnsi="StobiSerif Regular" w:cs="StobiSerif Regular"/>
                <w:sz w:val="20"/>
                <w:szCs w:val="20"/>
                <w:lang w:val="mk-MK"/>
              </w:rPr>
            </w:pPr>
          </w:p>
        </w:tc>
        <w:tc>
          <w:tcPr>
            <w:tcW w:w="1701"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2.000.000</w:t>
            </w:r>
          </w:p>
        </w:tc>
      </w:tr>
      <w:tr w:rsidR="008A3D6C" w:rsidRPr="00BF7955">
        <w:tc>
          <w:tcPr>
            <w:tcW w:w="6204"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 xml:space="preserve">2.1. Воспоставен е пакет од стимулации за унапредување на развојот на претпријатијата </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12.340.000</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9.400.000</w:t>
            </w:r>
          </w:p>
        </w:tc>
        <w:tc>
          <w:tcPr>
            <w:tcW w:w="311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Заем од Светска банка, ФИТР</w:t>
            </w:r>
          </w:p>
        </w:tc>
        <w:tc>
          <w:tcPr>
            <w:tcW w:w="1701"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2.940.000</w:t>
            </w:r>
          </w:p>
        </w:tc>
      </w:tr>
      <w:tr w:rsidR="008A3D6C" w:rsidRPr="00BF7955">
        <w:tc>
          <w:tcPr>
            <w:tcW w:w="6204"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 xml:space="preserve">3.1 Процесот на модернизација на Агенцијата за вработување на Република Македонија е забрзан </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3.000.000</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1.200.000</w:t>
            </w:r>
          </w:p>
        </w:tc>
        <w:tc>
          <w:tcPr>
            <w:tcW w:w="311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ИПА грант</w:t>
            </w:r>
          </w:p>
        </w:tc>
        <w:tc>
          <w:tcPr>
            <w:tcW w:w="1701"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1.800.000</w:t>
            </w:r>
          </w:p>
        </w:tc>
      </w:tr>
      <w:tr w:rsidR="008A3D6C" w:rsidRPr="00BF7955">
        <w:tc>
          <w:tcPr>
            <w:tcW w:w="6204"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 xml:space="preserve">3.2 Механизмите за спроведување и финансирање на активните политики на пазарот на трудот се приспособени за исполнување на потребите на младите невработени лица </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3.950.000</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0</w:t>
            </w:r>
          </w:p>
        </w:tc>
        <w:tc>
          <w:tcPr>
            <w:tcW w:w="3119" w:type="dxa"/>
            <w:vAlign w:val="center"/>
          </w:tcPr>
          <w:p w:rsidR="008A3D6C" w:rsidRPr="00F04D92" w:rsidRDefault="008A3D6C" w:rsidP="00BF7955">
            <w:pPr>
              <w:rPr>
                <w:rFonts w:ascii="StobiSerif Regular" w:hAnsi="StobiSerif Regular" w:cs="StobiSerif Regular"/>
                <w:sz w:val="20"/>
                <w:szCs w:val="20"/>
                <w:lang w:val="mk-MK"/>
              </w:rPr>
            </w:pPr>
          </w:p>
        </w:tc>
        <w:tc>
          <w:tcPr>
            <w:tcW w:w="1701"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3.950.000</w:t>
            </w:r>
          </w:p>
        </w:tc>
      </w:tr>
      <w:tr w:rsidR="008A3D6C" w:rsidRPr="00BF7955">
        <w:tc>
          <w:tcPr>
            <w:tcW w:w="6204"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 xml:space="preserve">3.3. АВРМ нуди квалитетни услуги за работодавачите и на младите лица им обезбедува веродостоен преглед на слободните работни места </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600.000</w:t>
            </w:r>
          </w:p>
        </w:tc>
        <w:tc>
          <w:tcPr>
            <w:tcW w:w="1559"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0</w:t>
            </w:r>
          </w:p>
        </w:tc>
        <w:tc>
          <w:tcPr>
            <w:tcW w:w="3119" w:type="dxa"/>
            <w:vAlign w:val="center"/>
          </w:tcPr>
          <w:p w:rsidR="008A3D6C" w:rsidRPr="00F04D92" w:rsidRDefault="008A3D6C" w:rsidP="00BF7955">
            <w:pPr>
              <w:rPr>
                <w:rFonts w:ascii="StobiSerif Regular" w:hAnsi="StobiSerif Regular" w:cs="StobiSerif Regular"/>
                <w:sz w:val="20"/>
                <w:szCs w:val="20"/>
                <w:lang w:val="mk-MK"/>
              </w:rPr>
            </w:pPr>
          </w:p>
        </w:tc>
        <w:tc>
          <w:tcPr>
            <w:tcW w:w="1701" w:type="dxa"/>
            <w:vAlign w:val="center"/>
          </w:tcPr>
          <w:p w:rsidR="008A3D6C" w:rsidRPr="00F04D92" w:rsidRDefault="008A3D6C" w:rsidP="00BF7955">
            <w:pPr>
              <w:rPr>
                <w:rFonts w:ascii="StobiSerif Regular" w:hAnsi="StobiSerif Regular" w:cs="StobiSerif Regular"/>
                <w:sz w:val="20"/>
                <w:szCs w:val="20"/>
                <w:lang w:val="mk-MK"/>
              </w:rPr>
            </w:pPr>
            <w:r w:rsidRPr="00F04D92">
              <w:rPr>
                <w:rFonts w:ascii="StobiSerif Regular" w:hAnsi="StobiSerif Regular" w:cs="StobiSerif Regular"/>
                <w:sz w:val="20"/>
                <w:szCs w:val="20"/>
                <w:lang w:val="mk-MK"/>
              </w:rPr>
              <w:t>600.000</w:t>
            </w:r>
          </w:p>
        </w:tc>
      </w:tr>
      <w:tr w:rsidR="008A3D6C" w:rsidRPr="00BF7955">
        <w:tc>
          <w:tcPr>
            <w:tcW w:w="6204" w:type="dxa"/>
            <w:shd w:val="clear" w:color="auto" w:fill="CCCCCC"/>
            <w:vAlign w:val="center"/>
          </w:tcPr>
          <w:p w:rsidR="008A3D6C" w:rsidRPr="00F04D92" w:rsidRDefault="008A3D6C" w:rsidP="00BF7955">
            <w:pPr>
              <w:rPr>
                <w:rFonts w:ascii="StobiSerif Regular" w:hAnsi="StobiSerif Regular" w:cs="StobiSerif Regular"/>
                <w:b/>
                <w:bCs/>
                <w:sz w:val="20"/>
                <w:szCs w:val="20"/>
                <w:lang w:val="mk-MK"/>
              </w:rPr>
            </w:pPr>
            <w:r w:rsidRPr="00F04D92">
              <w:rPr>
                <w:rFonts w:ascii="StobiSerif Regular" w:hAnsi="StobiSerif Regular" w:cs="StobiSerif Regular"/>
                <w:b/>
                <w:bCs/>
                <w:sz w:val="20"/>
                <w:szCs w:val="20"/>
                <w:lang w:val="mk-MK"/>
              </w:rPr>
              <w:t xml:space="preserve">ВКУПНО </w:t>
            </w:r>
          </w:p>
        </w:tc>
        <w:tc>
          <w:tcPr>
            <w:tcW w:w="1559" w:type="dxa"/>
            <w:shd w:val="clear" w:color="auto" w:fill="CCCCCC"/>
            <w:vAlign w:val="center"/>
          </w:tcPr>
          <w:p w:rsidR="008A3D6C" w:rsidRPr="00F04D92" w:rsidRDefault="008A3D6C" w:rsidP="00BF7955">
            <w:pPr>
              <w:rPr>
                <w:rFonts w:ascii="StobiSerif Regular" w:hAnsi="StobiSerif Regular" w:cs="StobiSerif Regular"/>
                <w:b/>
                <w:bCs/>
                <w:sz w:val="20"/>
                <w:szCs w:val="20"/>
                <w:lang w:val="mk-MK"/>
              </w:rPr>
            </w:pPr>
            <w:r w:rsidRPr="00F04D92">
              <w:rPr>
                <w:rFonts w:ascii="StobiSerif Regular" w:hAnsi="StobiSerif Regular" w:cs="StobiSerif Regular"/>
                <w:b/>
                <w:bCs/>
                <w:sz w:val="20"/>
                <w:szCs w:val="20"/>
                <w:lang w:val="mk-MK"/>
              </w:rPr>
              <w:t>30.950.000</w:t>
            </w:r>
            <w:r>
              <w:rPr>
                <w:rFonts w:ascii="StobiSerif Regular" w:hAnsi="StobiSerif Regular" w:cs="StobiSerif Regular"/>
                <w:b/>
                <w:bCs/>
                <w:sz w:val="20"/>
                <w:szCs w:val="20"/>
                <w:lang w:val="mk-MK"/>
              </w:rPr>
              <w:t xml:space="preserve"> евра</w:t>
            </w:r>
          </w:p>
        </w:tc>
        <w:tc>
          <w:tcPr>
            <w:tcW w:w="1559" w:type="dxa"/>
            <w:shd w:val="clear" w:color="auto" w:fill="CCCCCC"/>
            <w:vAlign w:val="center"/>
          </w:tcPr>
          <w:p w:rsidR="008A3D6C" w:rsidRPr="00F04D92" w:rsidRDefault="008A3D6C" w:rsidP="00BF7955">
            <w:pPr>
              <w:rPr>
                <w:rFonts w:ascii="StobiSerif Regular" w:hAnsi="StobiSerif Regular" w:cs="StobiSerif Regular"/>
                <w:b/>
                <w:bCs/>
                <w:sz w:val="20"/>
                <w:szCs w:val="20"/>
                <w:lang w:val="mk-MK"/>
              </w:rPr>
            </w:pPr>
            <w:r w:rsidRPr="00F04D92">
              <w:rPr>
                <w:rFonts w:ascii="StobiSerif Regular" w:hAnsi="StobiSerif Regular" w:cs="StobiSerif Regular"/>
                <w:b/>
                <w:bCs/>
                <w:sz w:val="20"/>
                <w:szCs w:val="20"/>
                <w:lang w:val="mk-MK"/>
              </w:rPr>
              <w:t>16.900.000</w:t>
            </w:r>
            <w:r>
              <w:rPr>
                <w:rFonts w:ascii="StobiSerif Regular" w:hAnsi="StobiSerif Regular" w:cs="StobiSerif Regular"/>
                <w:b/>
                <w:bCs/>
                <w:sz w:val="20"/>
                <w:szCs w:val="20"/>
                <w:lang w:val="mk-MK"/>
              </w:rPr>
              <w:t xml:space="preserve"> евра</w:t>
            </w:r>
          </w:p>
        </w:tc>
        <w:tc>
          <w:tcPr>
            <w:tcW w:w="3119" w:type="dxa"/>
            <w:shd w:val="clear" w:color="auto" w:fill="CCCCCC"/>
            <w:vAlign w:val="center"/>
          </w:tcPr>
          <w:p w:rsidR="008A3D6C" w:rsidRPr="00F04D92" w:rsidRDefault="008A3D6C" w:rsidP="00BF7955">
            <w:pPr>
              <w:rPr>
                <w:rFonts w:ascii="StobiSerif Regular" w:hAnsi="StobiSerif Regular" w:cs="StobiSerif Regular"/>
                <w:sz w:val="20"/>
                <w:szCs w:val="20"/>
                <w:lang w:val="mk-MK"/>
              </w:rPr>
            </w:pPr>
          </w:p>
        </w:tc>
        <w:tc>
          <w:tcPr>
            <w:tcW w:w="1701" w:type="dxa"/>
            <w:shd w:val="clear" w:color="auto" w:fill="CCCCCC"/>
            <w:vAlign w:val="center"/>
          </w:tcPr>
          <w:p w:rsidR="008A3D6C" w:rsidRPr="00F04D92" w:rsidRDefault="008A3D6C" w:rsidP="00BF7955">
            <w:pPr>
              <w:rPr>
                <w:rFonts w:ascii="StobiSerif Regular" w:hAnsi="StobiSerif Regular" w:cs="StobiSerif Regular"/>
                <w:b/>
                <w:bCs/>
                <w:sz w:val="20"/>
                <w:szCs w:val="20"/>
                <w:lang w:val="mk-MK"/>
              </w:rPr>
            </w:pPr>
            <w:r w:rsidRPr="00F04D92">
              <w:rPr>
                <w:rFonts w:ascii="StobiSerif Regular" w:hAnsi="StobiSerif Regular" w:cs="StobiSerif Regular"/>
                <w:b/>
                <w:bCs/>
                <w:sz w:val="20"/>
                <w:szCs w:val="20"/>
                <w:lang w:val="mk-MK"/>
              </w:rPr>
              <w:t>14.050.000</w:t>
            </w:r>
            <w:r>
              <w:rPr>
                <w:rFonts w:ascii="StobiSerif Regular" w:hAnsi="StobiSerif Regular" w:cs="StobiSerif Regular"/>
                <w:b/>
                <w:bCs/>
                <w:sz w:val="20"/>
                <w:szCs w:val="20"/>
                <w:lang w:val="mk-MK"/>
              </w:rPr>
              <w:t xml:space="preserve"> евра</w:t>
            </w:r>
          </w:p>
        </w:tc>
      </w:tr>
    </w:tbl>
    <w:p w:rsidR="008A3D6C" w:rsidRPr="00BF7955" w:rsidRDefault="008A3D6C" w:rsidP="00BF7955">
      <w:pPr>
        <w:rPr>
          <w:rFonts w:ascii="StobiSerif Regular" w:hAnsi="StobiSerif Regular" w:cs="StobiSerif Regular"/>
          <w:sz w:val="22"/>
          <w:szCs w:val="22"/>
        </w:rPr>
      </w:pPr>
    </w:p>
    <w:p w:rsidR="008A3D6C" w:rsidRPr="00BF7955" w:rsidRDefault="008A3D6C" w:rsidP="00BF7955">
      <w:pPr>
        <w:rPr>
          <w:rFonts w:ascii="StobiSerif Regular" w:hAnsi="StobiSerif Regular" w:cs="StobiSerif Regular"/>
          <w:sz w:val="22"/>
          <w:szCs w:val="22"/>
        </w:rPr>
        <w:sectPr w:rsidR="008A3D6C" w:rsidRPr="00BF7955" w:rsidSect="00EF0D9D">
          <w:pgSz w:w="15840" w:h="12240" w:orient="landscape" w:code="1"/>
          <w:pgMar w:top="1134" w:right="1134" w:bottom="1134" w:left="1134" w:header="709" w:footer="709" w:gutter="0"/>
          <w:pgNumType w:fmt="numberInDash"/>
          <w:cols w:space="708"/>
          <w:docGrid w:linePitch="360"/>
        </w:sect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5. Механизам за спроведување и координирање</w:t>
      </w:r>
    </w:p>
    <w:p w:rsidR="008A3D6C" w:rsidRPr="00BF7955" w:rsidRDefault="008A3D6C" w:rsidP="00F04D92">
      <w:pPr>
        <w:ind w:firstLine="720"/>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Релевантните ресорни министерства и владини институции ќе бидат одговорни за спроведувањето на политиките и мерките што се утврдени во </w:t>
      </w:r>
      <w:r w:rsidRPr="00BF7955">
        <w:rPr>
          <w:rFonts w:ascii="StobiSerif Regular" w:hAnsi="StobiSerif Regular" w:cs="StobiSerif Regular"/>
          <w:i/>
          <w:iCs/>
          <w:color w:val="000000"/>
          <w:sz w:val="22"/>
          <w:szCs w:val="22"/>
          <w:lang w:val="mk-MK"/>
        </w:rPr>
        <w:t>Акцискиот план</w:t>
      </w:r>
      <w:r w:rsidRPr="00BF7955">
        <w:rPr>
          <w:rFonts w:ascii="StobiSerif Regular" w:hAnsi="StobiSerif Regular" w:cs="StobiSerif Regular"/>
          <w:color w:val="000000"/>
          <w:sz w:val="22"/>
          <w:szCs w:val="22"/>
          <w:lang w:val="mk-MK"/>
        </w:rPr>
        <w:t xml:space="preserve">. Ќе бидат изготвени детални програми за олеснување на спроведувањето и унапредување на отчетноста. Групата експерти од различните ресорни министерства и социјалните партнери што го изготвија </w:t>
      </w:r>
      <w:r w:rsidRPr="00BF7955">
        <w:rPr>
          <w:rFonts w:ascii="StobiSerif Regular" w:hAnsi="StobiSerif Regular" w:cs="StobiSerif Regular"/>
          <w:i/>
          <w:iCs/>
          <w:color w:val="000000"/>
          <w:sz w:val="22"/>
          <w:szCs w:val="22"/>
          <w:lang w:val="mk-MK"/>
        </w:rPr>
        <w:t xml:space="preserve">Акцискиот план </w:t>
      </w:r>
      <w:r w:rsidRPr="00BF7955">
        <w:rPr>
          <w:rFonts w:ascii="StobiSerif Regular" w:hAnsi="StobiSerif Regular" w:cs="StobiSerif Regular"/>
          <w:color w:val="000000"/>
          <w:sz w:val="22"/>
          <w:szCs w:val="22"/>
          <w:lang w:val="mk-MK"/>
        </w:rPr>
        <w:t>ќе дејствува како Советодавна група на Единицата за пазарот на трудот во текот на спроведувањето.</w:t>
      </w:r>
    </w:p>
    <w:p w:rsidR="008A3D6C" w:rsidRPr="00BF7955" w:rsidRDefault="008A3D6C" w:rsidP="00F04D92">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Персоналот на Единицата за пазарот на трудот во МТСП ќе биде задолжен за координирање на севкупното спроведување и за поднесување редовни извештаи за постигнатиот напредок на Владата. Оваа единица ќе работи во тесна соработка со механизмите за координирање на донаторските програми и на програмите за техничка помош и ќе се поврзе со министерствата што се вклучени во спроведувањето на </w:t>
      </w:r>
      <w:r w:rsidRPr="00BF7955">
        <w:rPr>
          <w:rFonts w:ascii="StobiSerif Regular" w:hAnsi="StobiSerif Regular" w:cs="StobiSerif Regular"/>
          <w:i/>
          <w:iCs/>
          <w:color w:val="000000"/>
          <w:sz w:val="22"/>
          <w:szCs w:val="22"/>
          <w:lang w:val="mk-MK"/>
        </w:rPr>
        <w:t>Акцискиот план</w:t>
      </w:r>
      <w:r w:rsidRPr="00BF7955">
        <w:rPr>
          <w:rFonts w:ascii="StobiSerif Regular" w:hAnsi="StobiSerif Regular" w:cs="StobiSerif Regular"/>
          <w:color w:val="000000"/>
          <w:sz w:val="22"/>
          <w:szCs w:val="22"/>
          <w:lang w:val="mk-MK"/>
        </w:rPr>
        <w:t xml:space="preserve">, социјалните партнери и организациите што ги застапуваат интересите на младите луѓе. </w:t>
      </w:r>
    </w:p>
    <w:p w:rsidR="008A3D6C" w:rsidRPr="00BF7955" w:rsidRDefault="008A3D6C" w:rsidP="00F04D92">
      <w:pPr>
        <w:jc w:val="both"/>
        <w:rPr>
          <w:rFonts w:ascii="StobiSerif Regular" w:hAnsi="StobiSerif Regular" w:cs="StobiSerif Regular"/>
          <w:color w:val="000000"/>
          <w:sz w:val="22"/>
          <w:szCs w:val="22"/>
          <w:lang w:val="mk-MK"/>
        </w:rPr>
      </w:pPr>
      <w:r w:rsidRPr="00BF7955">
        <w:rPr>
          <w:rFonts w:ascii="StobiSerif Regular" w:hAnsi="StobiSerif Regular" w:cs="StobiSerif Regular"/>
          <w:color w:val="000000"/>
          <w:sz w:val="22"/>
          <w:szCs w:val="22"/>
          <w:lang w:val="mk-MK"/>
        </w:rPr>
        <w:t xml:space="preserve">Општите одговорности на клучните министерства, агенции и партнери во спроведувањето на </w:t>
      </w:r>
      <w:r w:rsidRPr="00BF7955">
        <w:rPr>
          <w:rFonts w:ascii="StobiSerif Regular" w:hAnsi="StobiSerif Regular" w:cs="StobiSerif Regular"/>
          <w:i/>
          <w:iCs/>
          <w:color w:val="000000"/>
          <w:sz w:val="22"/>
          <w:szCs w:val="22"/>
          <w:lang w:val="mk-MK"/>
        </w:rPr>
        <w:t>Акцискиот план</w:t>
      </w:r>
      <w:r w:rsidRPr="00BF7955">
        <w:rPr>
          <w:rFonts w:ascii="StobiSerif Regular" w:hAnsi="StobiSerif Regular" w:cs="StobiSerif Regular"/>
          <w:color w:val="000000"/>
          <w:sz w:val="22"/>
          <w:szCs w:val="22"/>
          <w:lang w:val="mk-MK"/>
        </w:rPr>
        <w:t xml:space="preserve"> се наведени во матрицата што е дадена во Прилог 1, додека, пак, основните функции на координативниот механизам се опишани во Рамка 3.</w:t>
      </w:r>
    </w:p>
    <w:p w:rsidR="008A3D6C" w:rsidRPr="00BF7955" w:rsidRDefault="008A3D6C" w:rsidP="00F04D92">
      <w:pPr>
        <w:jc w:val="both"/>
        <w:rPr>
          <w:rFonts w:ascii="StobiSerif Regular" w:hAnsi="StobiSerif Regular" w:cs="StobiSerif Regular"/>
          <w:color w:val="000000"/>
          <w:sz w:val="22"/>
          <w:szCs w:val="22"/>
          <w:lang w:val="mk-MK"/>
        </w:rPr>
      </w:pPr>
    </w:p>
    <w:p w:rsidR="008A3D6C" w:rsidRDefault="008A3D6C">
      <w:r>
        <w:br w:type="page"/>
      </w:r>
    </w:p>
    <w:tbl>
      <w:tblPr>
        <w:tblW w:w="7938" w:type="dxa"/>
        <w:tblInd w:w="-106"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1E0"/>
      </w:tblPr>
      <w:tblGrid>
        <w:gridCol w:w="7938"/>
      </w:tblGrid>
      <w:tr w:rsidR="008A3D6C" w:rsidRPr="00BF7955">
        <w:trPr>
          <w:trHeight w:val="555"/>
        </w:trPr>
        <w:tc>
          <w:tcPr>
            <w:tcW w:w="7938" w:type="dxa"/>
            <w:vMerge w:val="restart"/>
          </w:tcPr>
          <w:p w:rsidR="008A3D6C" w:rsidRPr="00BF7955" w:rsidRDefault="008A3D6C" w:rsidP="00BF7955">
            <w:pPr>
              <w:rPr>
                <w:rFonts w:ascii="StobiSerif Regular" w:hAnsi="StobiSerif Regular" w:cs="StobiSerif Regular"/>
                <w:b/>
                <w:bCs/>
                <w:color w:val="0070C0"/>
                <w:lang w:val="mk-MK"/>
              </w:rPr>
            </w:pPr>
            <w:r w:rsidRPr="00BF7955">
              <w:rPr>
                <w:rFonts w:ascii="StobiSerif Regular" w:hAnsi="StobiSerif Regular" w:cs="StobiSerif Regular"/>
                <w:b/>
                <w:bCs/>
                <w:color w:val="0070C0"/>
                <w:sz w:val="22"/>
                <w:szCs w:val="22"/>
                <w:lang w:val="mk-MK"/>
              </w:rPr>
              <w:t>Рамка 3: Координативен механизам за Акцискиот план за вработување млади лица</w:t>
            </w:r>
          </w:p>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b/>
                <w:bCs/>
                <w:color w:val="0070C0"/>
                <w:sz w:val="22"/>
                <w:szCs w:val="22"/>
                <w:lang w:val="mk-MK"/>
              </w:rPr>
              <w:t>Единицата за пазарот на трудот</w:t>
            </w:r>
            <w:r w:rsidRPr="00BF7955">
              <w:rPr>
                <w:rFonts w:ascii="StobiSerif Regular" w:hAnsi="StobiSerif Regular" w:cs="StobiSerif Regular"/>
                <w:color w:val="000000"/>
                <w:sz w:val="22"/>
                <w:szCs w:val="22"/>
                <w:lang w:val="mk-MK"/>
              </w:rPr>
              <w:t xml:space="preserve"> во рамките на МТСП ќе го врши севкупното координирање на спроведувањето на Акцискиот план. Конкретно, единицата: </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lang w:val="mk-MK"/>
              </w:rPr>
              <w:t>ќе обезбедува техничка поддршка, совети и насоки на партнерските министерства и агенции за сите аспекти во врска со спроведувањето на Акцискиот план. ќе изготвува периодични извештаи за постигнатиот напредок и за следење и ќе помага во изготвувањето на извештаите за оценување;</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lang w:val="mk-MK"/>
              </w:rPr>
              <w:t>ќе ја олеснува размената на информации и добри практики меѓу владините агенции, како и меѓу Владата, социјалните партнери и граѓанското општество;</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lang w:val="mk-MK"/>
              </w:rPr>
              <w:t>редовно ќе ја информира експертската група што го изготви Акцискиот план за постигнатиот напредок во спроведувањето.</w:t>
            </w: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color w:val="000000"/>
                <w:lang w:val="mk-MK"/>
              </w:rPr>
            </w:pPr>
            <w:r w:rsidRPr="00BF7955">
              <w:rPr>
                <w:rFonts w:ascii="StobiSerif Regular" w:hAnsi="StobiSerif Regular" w:cs="StobiSerif Regular"/>
                <w:b/>
                <w:bCs/>
                <w:color w:val="0070C0"/>
                <w:sz w:val="22"/>
                <w:szCs w:val="22"/>
                <w:lang w:val="mk-MK"/>
              </w:rPr>
              <w:t>Советодавната група</w:t>
            </w:r>
            <w:r w:rsidRPr="00BF7955">
              <w:rPr>
                <w:rFonts w:ascii="StobiSerif Regular" w:hAnsi="StobiSerif Regular" w:cs="StobiSerif Regular"/>
                <w:color w:val="000000"/>
                <w:sz w:val="22"/>
                <w:szCs w:val="22"/>
                <w:lang w:val="mk-MK"/>
              </w:rPr>
              <w:t>:</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color w:val="000000"/>
                <w:lang w:val="mk-MK"/>
              </w:rPr>
              <w:t>ги прегледува извештаите за постигнатиот напредок и за следење што се изготвени од Единицата за пазарот на трудот пред нивното поднесување на Владата;</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color w:val="000000"/>
                <w:lang w:val="mk-MK"/>
              </w:rPr>
              <w:t>дава совети за новонастанатите прашања од областа на вработувањето на младите лица што треба да се решаваат во рамките на Акцискиот план;</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color w:val="000000"/>
                <w:lang w:val="mk-MK"/>
              </w:rPr>
              <w:t>по потреба, ги преформулира, врз основа на наодите од извештаите за следење, специфичните цели, зацртаните цели и исходите на политиката од Акцискиот план.</w:t>
            </w:r>
          </w:p>
        </w:tc>
      </w:tr>
      <w:tr w:rsidR="008A3D6C" w:rsidRPr="00BF7955">
        <w:trPr>
          <w:trHeight w:val="555"/>
        </w:trPr>
        <w:tc>
          <w:tcPr>
            <w:tcW w:w="7938" w:type="dxa"/>
            <w:vMerge/>
          </w:tcPr>
          <w:p w:rsidR="008A3D6C" w:rsidRPr="00BF7955" w:rsidRDefault="008A3D6C" w:rsidP="00BF7955">
            <w:pPr>
              <w:pStyle w:val="Paragrafoelenco1"/>
              <w:rPr>
                <w:rFonts w:ascii="StobiSerif Regular" w:hAnsi="StobiSerif Regular" w:cs="StobiSerif Regular"/>
                <w:b/>
                <w:bCs/>
                <w:color w:val="000000"/>
                <w:lang w:val="mk-MK"/>
              </w:rPr>
            </w:pPr>
          </w:p>
        </w:tc>
      </w:tr>
    </w:tbl>
    <w:p w:rsidR="008A3D6C" w:rsidRDefault="008A3D6C" w:rsidP="00BF7955">
      <w:pPr>
        <w:rPr>
          <w:rFonts w:ascii="StobiSerif Regular" w:hAnsi="StobiSerif Regular" w:cs="StobiSerif Regular"/>
          <w:b/>
          <w:bCs/>
          <w:color w:val="0070C0"/>
          <w:sz w:val="22"/>
          <w:szCs w:val="22"/>
          <w:lang w:val="mk-MK"/>
        </w:rPr>
      </w:pPr>
    </w:p>
    <w:p w:rsidR="008A3D6C" w:rsidRDefault="008A3D6C">
      <w:pPr>
        <w:rPr>
          <w:rFonts w:ascii="StobiSerif Regular" w:hAnsi="StobiSerif Regular" w:cs="StobiSerif Regular"/>
          <w:b/>
          <w:bCs/>
          <w:color w:val="0070C0"/>
          <w:sz w:val="22"/>
          <w:szCs w:val="22"/>
          <w:lang w:val="mk-MK"/>
        </w:rPr>
      </w:pPr>
      <w:r>
        <w:rPr>
          <w:rFonts w:ascii="StobiSerif Regular" w:hAnsi="StobiSerif Regular" w:cs="StobiSerif Regular"/>
          <w:b/>
          <w:bCs/>
          <w:color w:val="0070C0"/>
          <w:sz w:val="22"/>
          <w:szCs w:val="22"/>
          <w:lang w:val="mk-MK"/>
        </w:rPr>
        <w:br w:type="page"/>
      </w:r>
    </w:p>
    <w:p w:rsidR="008A3D6C" w:rsidRPr="00BF7955" w:rsidRDefault="008A3D6C" w:rsidP="00BF7955">
      <w:pPr>
        <w:rPr>
          <w:rFonts w:ascii="StobiSerif Regular" w:hAnsi="StobiSerif Regular" w:cs="StobiSerif Regular"/>
          <w:b/>
          <w:bCs/>
          <w:color w:val="0070C0"/>
          <w:sz w:val="22"/>
          <w:szCs w:val="22"/>
          <w:lang w:val="mk-MK"/>
        </w:r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6. Следење и оценување</w:t>
      </w:r>
    </w:p>
    <w:p w:rsidR="008A3D6C" w:rsidRPr="00BF7955" w:rsidRDefault="008A3D6C" w:rsidP="00F04D92">
      <w:pPr>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 xml:space="preserve">Следењето на </w:t>
      </w:r>
      <w:r w:rsidRPr="00BF7955">
        <w:rPr>
          <w:rFonts w:ascii="StobiSerif Regular" w:hAnsi="StobiSerif Regular" w:cs="StobiSerif Regular"/>
          <w:i/>
          <w:iCs/>
          <w:sz w:val="22"/>
          <w:szCs w:val="22"/>
          <w:lang w:val="mk-MK"/>
        </w:rPr>
        <w:t>Акцискиот план</w:t>
      </w:r>
      <w:r w:rsidRPr="00BF7955">
        <w:rPr>
          <w:rFonts w:ascii="StobiSerif Regular" w:hAnsi="StobiSerif Regular" w:cs="StobiSerif Regular"/>
          <w:sz w:val="22"/>
          <w:szCs w:val="22"/>
          <w:lang w:val="mk-MK"/>
        </w:rPr>
        <w:t xml:space="preserve"> ќе се состои од редовно испитување на инпутите, аутпутите и исходите на интервенциите од политиката. Тоа ќе се заснова врз систем за собирање информации и анализирање на показателите на успешноста. Единицата за пазарот на трудот во рамките на МТСП ќе биде одговорна за систематизирање на информациите за следењето што се генерираат од ресорните министерства и партнерските агенции за целите на нивното презентирање на Владата. </w:t>
      </w:r>
    </w:p>
    <w:p w:rsidR="008A3D6C" w:rsidRPr="00BF7955" w:rsidRDefault="008A3D6C" w:rsidP="00F04D92">
      <w:pPr>
        <w:ind w:firstLine="720"/>
        <w:jc w:val="both"/>
        <w:rPr>
          <w:rFonts w:ascii="StobiSerif Regular" w:hAnsi="StobiSerif Regular" w:cs="StobiSerif Regular"/>
          <w:color w:val="000000"/>
          <w:sz w:val="22"/>
          <w:szCs w:val="22"/>
          <w:lang w:val="mk-MK"/>
        </w:rPr>
      </w:pPr>
      <w:r w:rsidRPr="00BF7955">
        <w:rPr>
          <w:rFonts w:ascii="StobiSerif Regular" w:hAnsi="StobiSerif Regular" w:cs="StobiSerif Regular"/>
          <w:sz w:val="22"/>
          <w:szCs w:val="22"/>
          <w:lang w:val="mk-MK"/>
        </w:rPr>
        <w:t xml:space="preserve">Системот за оценување ќе биде интегриран во циклусот на политиката/програмата. Ќе бидат спроведени две активности за оценување: 1) меѓупериодско оценување во 2018 година и 2) завршно оценување во 2020 година. Единицата за пазарот на трудот ќе биде одговорна за координирањето како на меѓупериодското, така и на завршното оценување. </w:t>
      </w:r>
    </w:p>
    <w:p w:rsidR="008A3D6C" w:rsidRDefault="008A3D6C" w:rsidP="00F04D92">
      <w:pPr>
        <w:ind w:firstLine="720"/>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Меѓупериодското оценување ќе ги анализира аутпутите и резултатите на интервенциите, финансиското управување, квалитетот на следењето и неговото спроведување. Во споредба со почетната состојба, тоа ќе ги потенцира промените во општиот контекст и ќе оцени дали целите остануваат релевантни. Ова оценување, исто така, ќе испита дали развојот на националните приоритети и политики носи проблеми за кохерентноста. Меѓупериодското оценување ќе се потпира врз информациите што се извлечени од системот за следење и од севкупниот контекст, како и од неговиот развој во повратни информации за управувањето с</w:t>
      </w:r>
      <w:r>
        <w:rPr>
          <w:rFonts w:ascii="StobiSerif Regular" w:hAnsi="StobiSerif Regular" w:cs="StobiSerif Regular"/>
          <w:sz w:val="22"/>
          <w:szCs w:val="22"/>
          <w:lang w:val="mk-MK"/>
        </w:rPr>
        <w:t xml:space="preserve">о планирањето на активностите. </w:t>
      </w:r>
    </w:p>
    <w:p w:rsidR="008A3D6C" w:rsidRDefault="008A3D6C" w:rsidP="00F04D92">
      <w:pPr>
        <w:ind w:firstLine="720"/>
        <w:jc w:val="both"/>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t>Завршното оценување, што треба да се спроведе во 2020 година, ќе ја оценува севкупната успешност на Акцискиот план. Тоа ќе даде информации за ефективноста и ефикасноста на интервенциите и за тоа во колкава мера биле постигнати очекуваните исходи. Основните оценувачки и истражувачки прашања ќе бидат поврзани со:</w:t>
      </w:r>
    </w:p>
    <w:p w:rsidR="008A3D6C" w:rsidRDefault="008A3D6C">
      <w:pPr>
        <w:rPr>
          <w:rFonts w:ascii="StobiSerif Regular" w:hAnsi="StobiSerif Regular" w:cs="StobiSerif Regular"/>
          <w:sz w:val="22"/>
          <w:szCs w:val="22"/>
          <w:lang w:val="mk-MK"/>
        </w:rPr>
      </w:pPr>
      <w:r>
        <w:rPr>
          <w:rFonts w:ascii="StobiSerif Regular" w:hAnsi="StobiSerif Regular" w:cs="StobiSerif Regular"/>
          <w:sz w:val="22"/>
          <w:szCs w:val="22"/>
          <w:lang w:val="mk-MK"/>
        </w:rPr>
        <w:br w:type="page"/>
      </w:r>
    </w:p>
    <w:p w:rsidR="008A3D6C" w:rsidRPr="00BF7955" w:rsidRDefault="008A3D6C" w:rsidP="00F04D92">
      <w:pPr>
        <w:ind w:firstLine="720"/>
        <w:jc w:val="both"/>
        <w:rPr>
          <w:rFonts w:ascii="StobiSerif Regular" w:hAnsi="StobiSerif Regular" w:cs="StobiSerif Regular"/>
          <w:sz w:val="22"/>
          <w:szCs w:val="22"/>
          <w:lang w:val="mk-MK"/>
        </w:rPr>
      </w:pPr>
    </w:p>
    <w:p w:rsidR="008A3D6C" w:rsidRPr="00BF7955" w:rsidRDefault="008A3D6C" w:rsidP="00F04D92">
      <w:pPr>
        <w:pStyle w:val="Paragrafoelenco1"/>
        <w:jc w:val="both"/>
        <w:rPr>
          <w:rFonts w:ascii="StobiSerif Regular" w:hAnsi="StobiSerif Regular" w:cs="StobiSerif Regular"/>
          <w:lang w:val="mk-MK"/>
        </w:rPr>
      </w:pPr>
      <w:r w:rsidRPr="00BF7955">
        <w:rPr>
          <w:rFonts w:ascii="StobiSerif Regular" w:hAnsi="StobiSerif Regular" w:cs="StobiSerif Regular"/>
          <w:i/>
          <w:iCs/>
          <w:lang w:val="mk-MK"/>
        </w:rPr>
        <w:t xml:space="preserve">Релевантност: </w:t>
      </w:r>
      <w:r w:rsidRPr="00BF7955">
        <w:rPr>
          <w:rFonts w:ascii="StobiSerif Regular" w:hAnsi="StobiSerif Regular" w:cs="StobiSerif Regular"/>
          <w:lang w:val="mk-MK"/>
        </w:rPr>
        <w:t xml:space="preserve">во колкава мера целите на </w:t>
      </w:r>
      <w:r w:rsidRPr="00BF7955">
        <w:rPr>
          <w:rFonts w:ascii="StobiSerif Regular" w:hAnsi="StobiSerif Regular" w:cs="StobiSerif Regular"/>
          <w:i/>
          <w:iCs/>
          <w:lang w:val="mk-MK"/>
        </w:rPr>
        <w:t>Акцискиот план</w:t>
      </w:r>
      <w:r w:rsidRPr="00BF7955">
        <w:rPr>
          <w:rFonts w:ascii="StobiSerif Regular" w:hAnsi="StobiSerif Regular" w:cs="StobiSerif Regular"/>
          <w:lang w:val="mk-MK"/>
        </w:rPr>
        <w:t xml:space="preserve"> одговориле на националните потреби и приоритети;</w:t>
      </w:r>
    </w:p>
    <w:p w:rsidR="008A3D6C" w:rsidRPr="00BF7955" w:rsidRDefault="008A3D6C" w:rsidP="00F04D92">
      <w:pPr>
        <w:pStyle w:val="Paragrafoelenco1"/>
        <w:jc w:val="both"/>
        <w:rPr>
          <w:rFonts w:ascii="StobiSerif Regular" w:hAnsi="StobiSerif Regular" w:cs="StobiSerif Regular"/>
          <w:lang w:val="mk-MK"/>
        </w:rPr>
      </w:pPr>
      <w:r w:rsidRPr="00BF7955">
        <w:rPr>
          <w:rFonts w:ascii="StobiSerif Regular" w:hAnsi="StobiSerif Regular" w:cs="StobiSerif Regular"/>
          <w:i/>
          <w:iCs/>
          <w:lang w:val="mk-MK"/>
        </w:rPr>
        <w:t xml:space="preserve">Ефективност: </w:t>
      </w:r>
      <w:r w:rsidRPr="00BF7955">
        <w:rPr>
          <w:rFonts w:ascii="StobiSerif Regular" w:hAnsi="StobiSerif Regular" w:cs="StobiSerif Regular"/>
          <w:lang w:val="mk-MK"/>
        </w:rPr>
        <w:t xml:space="preserve">во колкава мера биле постигнати целите; дали интервенциите и искористените средства ги дале очекуваните резултати; и дали можело да се постигне повеќе користејќи различни средства; </w:t>
      </w:r>
    </w:p>
    <w:p w:rsidR="008A3D6C" w:rsidRPr="00BF7955" w:rsidRDefault="008A3D6C" w:rsidP="00F04D92">
      <w:pPr>
        <w:pStyle w:val="Paragrafoelenco1"/>
        <w:jc w:val="both"/>
        <w:rPr>
          <w:rFonts w:ascii="StobiSerif Regular" w:hAnsi="StobiSerif Regular" w:cs="StobiSerif Regular"/>
          <w:lang w:val="mk-MK"/>
        </w:rPr>
      </w:pPr>
      <w:r w:rsidRPr="00BF7955">
        <w:rPr>
          <w:rFonts w:ascii="StobiSerif Regular" w:hAnsi="StobiSerif Regular" w:cs="StobiSerif Regular"/>
          <w:i/>
          <w:iCs/>
          <w:lang w:val="mk-MK"/>
        </w:rPr>
        <w:t xml:space="preserve">Ефикасност: </w:t>
      </w:r>
      <w:r w:rsidRPr="00BF7955">
        <w:rPr>
          <w:rFonts w:ascii="StobiSerif Regular" w:hAnsi="StobiSerif Regular" w:cs="StobiSerif Regular"/>
          <w:lang w:val="mk-MK"/>
        </w:rPr>
        <w:t xml:space="preserve">дали целите биле постигнати со најниските можни трошоци; </w:t>
      </w:r>
    </w:p>
    <w:p w:rsidR="008A3D6C" w:rsidRPr="00BF7955" w:rsidRDefault="008A3D6C" w:rsidP="00F04D92">
      <w:pPr>
        <w:pStyle w:val="Paragrafoelenco1"/>
        <w:jc w:val="both"/>
        <w:rPr>
          <w:rFonts w:ascii="StobiSerif Regular" w:hAnsi="StobiSerif Regular" w:cs="StobiSerif Regular"/>
          <w:lang w:val="mk-MK"/>
        </w:rPr>
      </w:pPr>
      <w:r w:rsidRPr="00BF7955">
        <w:rPr>
          <w:rFonts w:ascii="StobiSerif Regular" w:hAnsi="StobiSerif Regular" w:cs="StobiSerif Regular"/>
          <w:i/>
          <w:iCs/>
          <w:lang w:val="mk-MK"/>
        </w:rPr>
        <w:t>Одржливост:</w:t>
      </w:r>
      <w:r w:rsidRPr="00BF7955">
        <w:rPr>
          <w:rFonts w:ascii="StobiSerif Regular" w:hAnsi="StobiSerif Regular" w:cs="StobiSerif Regular"/>
          <w:lang w:val="mk-MK"/>
        </w:rPr>
        <w:t xml:space="preserve"> во колкава мера резултатите, вклучувајќи ги институционалните промени, се трајни со текот на времето.</w:t>
      </w:r>
    </w:p>
    <w:p w:rsidR="008A3D6C" w:rsidRPr="00BF7955" w:rsidRDefault="008A3D6C" w:rsidP="00F04D92">
      <w:pPr>
        <w:jc w:val="both"/>
        <w:rPr>
          <w:rFonts w:ascii="StobiSerif Regular" w:hAnsi="StobiSerif Regular" w:cs="StobiSerif Regular"/>
          <w:b/>
          <w:bCs/>
          <w:color w:val="0070C0"/>
          <w:sz w:val="22"/>
          <w:szCs w:val="22"/>
        </w:rPr>
      </w:pPr>
      <w:r w:rsidRPr="00BF7955">
        <w:rPr>
          <w:rFonts w:ascii="StobiSerif Regular" w:hAnsi="StobiSerif Regular" w:cs="StobiSerif Regular"/>
          <w:b/>
          <w:bCs/>
          <w:color w:val="0070C0"/>
          <w:sz w:val="22"/>
          <w:szCs w:val="22"/>
          <w:lang w:val="mk-MK"/>
        </w:rPr>
        <w:br w:type="page"/>
        <w:t>Прилози</w:t>
      </w:r>
    </w:p>
    <w:p w:rsidR="008A3D6C" w:rsidRPr="00BF7955" w:rsidRDefault="008A3D6C" w:rsidP="00BF7955">
      <w:pPr>
        <w:rPr>
          <w:rFonts w:ascii="StobiSerif Regular" w:hAnsi="StobiSerif Regular" w:cs="StobiSerif Regular"/>
          <w:b/>
          <w:bCs/>
          <w:sz w:val="22"/>
          <w:szCs w:val="22"/>
        </w:rPr>
      </w:pPr>
    </w:p>
    <w:p w:rsidR="008A3D6C" w:rsidRPr="00BF7955" w:rsidRDefault="008A3D6C" w:rsidP="00BF7955">
      <w:pPr>
        <w:rPr>
          <w:rFonts w:ascii="StobiSerif Regular" w:hAnsi="StobiSerif Regular" w:cs="StobiSerif Regular"/>
          <w:b/>
          <w:bCs/>
          <w:sz w:val="22"/>
          <w:szCs w:val="22"/>
        </w:rPr>
      </w:pPr>
    </w:p>
    <w:p w:rsidR="008A3D6C" w:rsidRPr="00BF7955" w:rsidRDefault="008A3D6C" w:rsidP="00BF7955">
      <w:pPr>
        <w:rPr>
          <w:rFonts w:ascii="StobiSerif Regular" w:hAnsi="StobiSerif Regular" w:cs="StobiSerif Regular"/>
          <w:sz w:val="22"/>
          <w:szCs w:val="22"/>
        </w:rPr>
      </w:pPr>
    </w:p>
    <w:p w:rsidR="008A3D6C" w:rsidRPr="00BF7955" w:rsidRDefault="008A3D6C" w:rsidP="00BF7955">
      <w:pPr>
        <w:rPr>
          <w:rFonts w:ascii="StobiSerif Regular" w:hAnsi="StobiSerif Regular" w:cs="StobiSerif Regular"/>
          <w:color w:val="000000"/>
          <w:sz w:val="22"/>
          <w:szCs w:val="22"/>
        </w:rPr>
      </w:pPr>
    </w:p>
    <w:p w:rsidR="008A3D6C" w:rsidRPr="00BF7955" w:rsidRDefault="008A3D6C" w:rsidP="00BF7955">
      <w:pPr>
        <w:rPr>
          <w:rFonts w:ascii="StobiSerif Regular" w:hAnsi="StobiSerif Regular" w:cs="StobiSerif Regular"/>
          <w:color w:val="000000"/>
          <w:sz w:val="22"/>
          <w:szCs w:val="22"/>
        </w:rPr>
      </w:pPr>
    </w:p>
    <w:p w:rsidR="008A3D6C" w:rsidRPr="00BF7955" w:rsidRDefault="008A3D6C" w:rsidP="00BF7955">
      <w:pPr>
        <w:rPr>
          <w:rFonts w:ascii="StobiSerif Regular" w:hAnsi="StobiSerif Regular" w:cs="StobiSerif Regular"/>
          <w:color w:val="000000"/>
          <w:sz w:val="22"/>
          <w:szCs w:val="22"/>
        </w:rPr>
        <w:sectPr w:rsidR="008A3D6C" w:rsidRPr="00BF7955" w:rsidSect="00EF0D9D">
          <w:footerReference w:type="default" r:id="rId20"/>
          <w:pgSz w:w="12240" w:h="15840"/>
          <w:pgMar w:top="1554" w:right="1797" w:bottom="1554" w:left="1797" w:header="709" w:footer="709" w:gutter="0"/>
          <w:pgNumType w:chapStyle="1" w:chapSep="enDash"/>
          <w:cols w:space="708"/>
          <w:docGrid w:linePitch="360"/>
        </w:sectPr>
      </w:pPr>
    </w:p>
    <w:p w:rsidR="008A3D6C" w:rsidRPr="00BF7955" w:rsidRDefault="008A3D6C" w:rsidP="00BF7955">
      <w:pPr>
        <w:rPr>
          <w:rFonts w:ascii="StobiSerif Regular" w:hAnsi="StobiSerif Regular" w:cs="StobiSerif Regular"/>
          <w:b/>
          <w:bCs/>
          <w:color w:val="0070C0"/>
          <w:sz w:val="22"/>
          <w:szCs w:val="22"/>
          <w:lang w:val="mk-MK"/>
        </w:rPr>
      </w:pPr>
      <w:r w:rsidRPr="00BF7955">
        <w:rPr>
          <w:rFonts w:ascii="StobiSerif Regular" w:hAnsi="StobiSerif Regular" w:cs="StobiSerif Regular"/>
          <w:b/>
          <w:bCs/>
          <w:color w:val="0070C0"/>
          <w:sz w:val="22"/>
          <w:szCs w:val="22"/>
          <w:lang w:val="mk-MK"/>
        </w:rPr>
        <w:t xml:space="preserve">Прилог 1 - Матрица на Акцискиот план за вработување млади лица </w:t>
      </w:r>
    </w:p>
    <w:p w:rsidR="008A3D6C" w:rsidRPr="00BF7955" w:rsidRDefault="008A3D6C" w:rsidP="00BF7955">
      <w:pPr>
        <w:rPr>
          <w:rFonts w:ascii="StobiSerif Regular" w:hAnsi="StobiSerif Regular" w:cs="StobiSerif Regular"/>
          <w:sz w:val="22"/>
          <w:szCs w:val="22"/>
          <w:lang w:val="mk-MK"/>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01"/>
        <w:gridCol w:w="2766"/>
        <w:gridCol w:w="1695"/>
        <w:gridCol w:w="1567"/>
        <w:gridCol w:w="1792"/>
        <w:gridCol w:w="1167"/>
        <w:gridCol w:w="788"/>
      </w:tblGrid>
      <w:tr w:rsidR="008A3D6C" w:rsidRPr="00BF7955">
        <w:trPr>
          <w:jc w:val="center"/>
        </w:trPr>
        <w:tc>
          <w:tcPr>
            <w:tcW w:w="13669" w:type="dxa"/>
            <w:gridSpan w:val="7"/>
            <w:tcBorders>
              <w:top w:val="single" w:sz="12" w:space="0" w:color="4F81BD"/>
              <w:left w:val="single" w:sz="12" w:space="0" w:color="4F81BD"/>
              <w:bottom w:val="single" w:sz="12" w:space="0" w:color="4F81BD"/>
              <w:right w:val="single" w:sz="12" w:space="0" w:color="4F81BD"/>
            </w:tcBorders>
            <w:shd w:val="clear" w:color="auto" w:fill="B8CCE4"/>
          </w:tcPr>
          <w:p w:rsidR="008A3D6C" w:rsidRPr="00BF7955" w:rsidRDefault="008A3D6C" w:rsidP="00BF7955">
            <w:pPr>
              <w:pStyle w:val="Paragrafoelenco1"/>
              <w:rPr>
                <w:rFonts w:ascii="StobiSerif Regular" w:hAnsi="StobiSerif Regular" w:cs="StobiSerif Regular"/>
                <w:b/>
                <w:bCs/>
                <w:i/>
                <w:iCs/>
                <w:color w:val="0070C0"/>
                <w:lang w:val="mk-MK"/>
              </w:rPr>
            </w:pPr>
            <w:r w:rsidRPr="00BF7955">
              <w:rPr>
                <w:rFonts w:ascii="StobiSerif Regular" w:hAnsi="StobiSerif Regular" w:cs="StobiSerif Regular"/>
                <w:b/>
                <w:bCs/>
                <w:lang w:val="mk-MK"/>
              </w:rPr>
              <w:t>Цел:</w:t>
            </w:r>
            <w:r w:rsidRPr="00BF7955">
              <w:rPr>
                <w:rFonts w:ascii="StobiSerif Regular" w:hAnsi="StobiSerif Regular" w:cs="StobiSerif Regular"/>
                <w:b/>
                <w:bCs/>
                <w:lang w:val="mk-MK"/>
              </w:rPr>
              <w:tab/>
              <w:t>Подобрување на усогласеноста на понудата на вештини со барањата на пазарот на трудот</w:t>
            </w:r>
            <w:r w:rsidRPr="00BF7955">
              <w:rPr>
                <w:rFonts w:ascii="StobiSerif Regular" w:hAnsi="StobiSerif Regular" w:cs="StobiSerif Regular"/>
                <w:b/>
                <w:bCs/>
                <w:i/>
                <w:iCs/>
                <w:color w:val="0070C0"/>
                <w:lang w:val="mk-MK"/>
              </w:rPr>
              <w:t xml:space="preserve"> </w:t>
            </w:r>
          </w:p>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Зацртана цел</w:t>
            </w:r>
            <w:r w:rsidRPr="00BF7955">
              <w:rPr>
                <w:rFonts w:ascii="StobiSerif Regular" w:hAnsi="StobiSerif Regular" w:cs="StobiSerif Regular"/>
                <w:b/>
                <w:bCs/>
                <w:sz w:val="22"/>
                <w:szCs w:val="22"/>
                <w:lang w:val="mk-MK"/>
              </w:rPr>
              <w:tab/>
              <w:t xml:space="preserve"> </w:t>
            </w:r>
            <w:r w:rsidRPr="00BF7955">
              <w:rPr>
                <w:rFonts w:ascii="StobiSerif Regular" w:hAnsi="StobiSerif Regular" w:cs="StobiSerif Regular"/>
                <w:b/>
                <w:bCs/>
                <w:sz w:val="22"/>
                <w:szCs w:val="22"/>
                <w:lang w:val="mk-MK"/>
              </w:rPr>
              <w:tab/>
              <w:t xml:space="preserve">зголемување од 20 проценти на бројот на младите лица на возраст од 15 до 29 години што работат на работни места што се соодветни на нивните квалификации </w:t>
            </w:r>
          </w:p>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намалување од 4 процентни поени на бројот на нискоквалификувани млади лица</w:t>
            </w:r>
          </w:p>
        </w:tc>
      </w:tr>
      <w:tr w:rsidR="008A3D6C" w:rsidRPr="00BF7955">
        <w:trPr>
          <w:jc w:val="center"/>
        </w:trPr>
        <w:tc>
          <w:tcPr>
            <w:tcW w:w="4750"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ИСХОДИ И АУТПУТИ</w:t>
            </w:r>
          </w:p>
        </w:tc>
        <w:tc>
          <w:tcPr>
            <w:tcW w:w="2687"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ПОКАЗАТЕЛИ</w:t>
            </w:r>
          </w:p>
          <w:p w:rsidR="008A3D6C" w:rsidRPr="00BF7955" w:rsidRDefault="008A3D6C" w:rsidP="00BF7955">
            <w:pPr>
              <w:rPr>
                <w:rFonts w:ascii="StobiSerif Regular" w:hAnsi="StobiSerif Regular" w:cs="StobiSerif Regular"/>
                <w:lang w:val="mk-MK"/>
              </w:rPr>
            </w:pPr>
          </w:p>
        </w:tc>
        <w:tc>
          <w:tcPr>
            <w:tcW w:w="1470"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ОДГОВОРНА ЕДИНИЦА</w:t>
            </w:r>
          </w:p>
        </w:tc>
        <w:tc>
          <w:tcPr>
            <w:tcW w:w="2815" w:type="dxa"/>
            <w:gridSpan w:val="2"/>
            <w:tcBorders>
              <w:top w:val="single" w:sz="12" w:space="0" w:color="4F81BD"/>
              <w:left w:val="single" w:sz="12" w:space="0" w:color="4F81BD"/>
              <w:bottom w:val="single" w:sz="12" w:space="0" w:color="4F81BD"/>
              <w:right w:val="nil"/>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ФИНАНСИСКИ ИНПУТ</w:t>
            </w:r>
          </w:p>
        </w:tc>
        <w:tc>
          <w:tcPr>
            <w:tcW w:w="1947" w:type="dxa"/>
            <w:gridSpan w:val="2"/>
            <w:tcBorders>
              <w:top w:val="single" w:sz="12" w:space="0" w:color="4F81BD"/>
              <w:left w:val="nil"/>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ВРЕМЕНСКА РАМКА</w:t>
            </w:r>
          </w:p>
        </w:tc>
      </w:tr>
      <w:tr w:rsidR="008A3D6C" w:rsidRPr="00BF7955">
        <w:trPr>
          <w:jc w:val="center"/>
        </w:trPr>
        <w:tc>
          <w:tcPr>
            <w:tcW w:w="4750"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i/>
                <w:iCs/>
                <w:lang w:val="mk-MK"/>
              </w:rPr>
            </w:pPr>
          </w:p>
        </w:tc>
        <w:tc>
          <w:tcPr>
            <w:tcW w:w="2687"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p>
        </w:tc>
        <w:tc>
          <w:tcPr>
            <w:tcW w:w="1470"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p>
        </w:tc>
        <w:tc>
          <w:tcPr>
            <w:tcW w:w="1225"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Обезбедени</w:t>
            </w:r>
            <w:r w:rsidRPr="00BF7955" w:rsidDel="00101A46">
              <w:rPr>
                <w:rFonts w:ascii="StobiSerif Regular" w:hAnsi="StobiSerif Regular" w:cs="StobiSerif Regular"/>
                <w:b/>
                <w:bCs/>
                <w:sz w:val="22"/>
                <w:szCs w:val="22"/>
                <w:lang w:val="mk-MK"/>
              </w:rPr>
              <w:t xml:space="preserve"> </w:t>
            </w:r>
          </w:p>
        </w:tc>
        <w:tc>
          <w:tcPr>
            <w:tcW w:w="1590"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 xml:space="preserve">Сè уште необезбедени </w:t>
            </w:r>
          </w:p>
        </w:tc>
        <w:tc>
          <w:tcPr>
            <w:tcW w:w="1024"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Почеток</w:t>
            </w:r>
          </w:p>
        </w:tc>
        <w:tc>
          <w:tcPr>
            <w:tcW w:w="923"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Крај</w:t>
            </w:r>
          </w:p>
        </w:tc>
      </w:tr>
      <w:tr w:rsidR="008A3D6C" w:rsidRPr="00BF7955">
        <w:trPr>
          <w:jc w:val="center"/>
        </w:trPr>
        <w:tc>
          <w:tcPr>
            <w:tcW w:w="4750" w:type="dxa"/>
            <w:tcBorders>
              <w:top w:val="single" w:sz="12"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Исход 1.1 – Системот за предвидување на вештините е развиен и обезбедува информации за креирањето на политиките за образование и за пазарот на трудот, како и за изборите што ги прават младите луѓе</w:t>
            </w: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Почетна состојба</w:t>
            </w:r>
          </w:p>
          <w:p w:rsidR="008A3D6C" w:rsidRPr="00BF7955" w:rsidRDefault="008A3D6C" w:rsidP="00BF7955">
            <w:pPr>
              <w:pStyle w:val="Pa4"/>
              <w:rPr>
                <w:rFonts w:ascii="StobiSerif Regular" w:hAnsi="StobiSerif Regular" w:cs="StobiSerif Regular"/>
                <w:color w:val="000000"/>
                <w:lang w:val="mk-MK" w:eastAsia="en-US"/>
              </w:rPr>
            </w:pPr>
            <w:r w:rsidRPr="00BF7955">
              <w:rPr>
                <w:rFonts w:ascii="StobiSerif Regular" w:hAnsi="StobiSerif Regular" w:cs="StobiSerif Regular"/>
                <w:color w:val="000000"/>
                <w:sz w:val="22"/>
                <w:szCs w:val="22"/>
                <w:lang w:val="mk-MK" w:eastAsia="en-US"/>
              </w:rPr>
              <w:t xml:space="preserve">Во 2014 година, 64,8 проценти од младите работници (15-29) биле вработени на занимања што се соодветни на нивното образовно ниво. </w:t>
            </w:r>
          </w:p>
          <w:p w:rsidR="008A3D6C" w:rsidRPr="00BF7955" w:rsidRDefault="008A3D6C" w:rsidP="00BF7955">
            <w:pPr>
              <w:pStyle w:val="Pa4"/>
              <w:rPr>
                <w:rFonts w:ascii="StobiSerif Regular" w:hAnsi="StobiSerif Regular" w:cs="StobiSerif Regular"/>
                <w:color w:val="000000"/>
                <w:lang w:val="mk-MK" w:eastAsia="en-US"/>
              </w:rPr>
            </w:pPr>
            <w:r w:rsidRPr="00BF7955">
              <w:rPr>
                <w:rFonts w:ascii="StobiSerif Regular" w:hAnsi="StobiSerif Regular" w:cs="StobiSerif Regular"/>
                <w:color w:val="000000"/>
                <w:sz w:val="22"/>
                <w:szCs w:val="22"/>
                <w:lang w:val="mk-MK" w:eastAsia="en-US"/>
              </w:rPr>
              <w:t xml:space="preserve">Преквалификуваноста засегала приближно 18,9 проценти од сите млади работници, додека, пак, 16,2 проценти од сите вработени млади лица биле недоволно квалификувани (35,2 проценти севкупна неусогласеност на вештините за групата 15-29). </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Аутпути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1.1.1 </w:t>
            </w:r>
            <w:r w:rsidRPr="00BF7955">
              <w:rPr>
                <w:rFonts w:ascii="StobiSerif Regular" w:hAnsi="StobiSerif Regular" w:cs="StobiSerif Regular"/>
                <w:sz w:val="22"/>
                <w:szCs w:val="22"/>
                <w:lang w:val="mk-MK"/>
              </w:rPr>
              <w:t>Модел за предвидување вештини – заснован врз демографски проекции, анкетни истражувања на работодавачите и слободните работни места, податоци за образованието, проекции за вработеноста и секторски студии – е дизајниран и тестиран од страна на Единицата за пазарот на трудот на Министерството за труд и социјална политика (МТСП) за обезбедување поверодостојни информации за побарувачката на работна сила и за изготвување редовни извештаи за перспективните занимања (МТСП, 450.000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1.1.2 </w:t>
            </w:r>
            <w:r w:rsidRPr="00BF7955">
              <w:rPr>
                <w:rFonts w:ascii="StobiSerif Regular" w:hAnsi="StobiSerif Regular" w:cs="StobiSerif Regular"/>
                <w:sz w:val="22"/>
                <w:szCs w:val="22"/>
                <w:lang w:val="mk-MK"/>
              </w:rPr>
              <w:t>Базата на податоци на АВРМ во која што се евидентираат слободните работни места е ажурирана, усогласена со моделот за предвидување вештини и им обезбедува веродостојни информации на младите клиенти за работните места и занимањата за кои постои најголема побарувачка на пазарот на трудот (АВРМ, 300.000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1.1.3 </w:t>
            </w:r>
            <w:r w:rsidRPr="00BF7955">
              <w:rPr>
                <w:rFonts w:ascii="StobiSerif Regular" w:hAnsi="StobiSerif Regular" w:cs="StobiSerif Regular"/>
                <w:sz w:val="22"/>
                <w:szCs w:val="22"/>
                <w:lang w:val="mk-MK"/>
              </w:rPr>
              <w:t>Опсерваторија на вештини, развиена и раководена од страна на Министерството за образование и наука (МОН) го храни моделот за предвидување вештини со податоци за програмите за образование и учење за возрасните, поставувањето на дипломците на работни места и за трошоците на студиите (МОН, без трошоци);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1.1.4 </w:t>
            </w:r>
            <w:r w:rsidRPr="00BF7955">
              <w:rPr>
                <w:rFonts w:ascii="StobiSerif Regular" w:hAnsi="StobiSerif Regular" w:cs="StobiSerif Regular"/>
                <w:sz w:val="22"/>
                <w:szCs w:val="22"/>
                <w:lang w:val="mk-MK"/>
              </w:rPr>
              <w:t xml:space="preserve">Единицата за пазарот на трудот на Министерството за труд и социјална политика редовно спроведува студии (до целосното воспоставување на секторските совети од Националната рамка за квалификации) за збогатување на информациите што за побарувачката на работна сила што се достапни преку системот за предвидување вештини (МТСП, 250.000 евра);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1.1.5 </w:t>
            </w:r>
            <w:r w:rsidRPr="00BF7955">
              <w:rPr>
                <w:rFonts w:ascii="StobiSerif Regular" w:hAnsi="StobiSerif Regular" w:cs="StobiSerif Regular"/>
                <w:sz w:val="22"/>
                <w:szCs w:val="22"/>
                <w:lang w:val="mk-MK"/>
              </w:rPr>
              <w:t>Единицата за пазарот на трудот на МТСП редовно собира информации за пазарот на трудот, индустриските гранки, занимањата и вештините за кои што постои најголема побарувачка на пазарот на трудот за хранење со податоци на моделот за предвидување вештини, изготвува извештаи за перспективните занимања и врши дисеминација на добиените информации до крајните корисници (младите луѓе и нивните семејства; образовните институции и институциите на пазарот на трудот и пошироката јавност) (МТСП, 250.000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1.1.6 </w:t>
            </w:r>
            <w:r w:rsidRPr="00BF7955">
              <w:rPr>
                <w:rFonts w:ascii="StobiSerif Regular" w:hAnsi="StobiSerif Regular" w:cs="StobiSerif Regular"/>
                <w:sz w:val="22"/>
                <w:szCs w:val="22"/>
                <w:lang w:val="mk-MK"/>
              </w:rPr>
              <w:t>Редовно ажурираниот извештај за перспективните занимања се дисеминира преку наменските веб страни на АВРМ, Министерството за труд и социјална политика и Опсерваторијата на вештини на МОН, и се спроведуваат заеднички кампањи за подигање на свеста од страна на МТСП и МОН (МТСП, АВРМ, МОН, 50.000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1.1.7 </w:t>
            </w:r>
            <w:r w:rsidRPr="00BF7955">
              <w:rPr>
                <w:rFonts w:ascii="StobiSerif Regular" w:hAnsi="StobiSerif Regular" w:cs="StobiSerif Regular"/>
                <w:sz w:val="22"/>
                <w:szCs w:val="22"/>
                <w:lang w:val="mk-MK"/>
              </w:rPr>
              <w:t>Мрежата на младински невладини организации го користи извештајот за перспективните занимања и останатите информации што произлегуваат од моделот за предвидување вештини за изготвување информативни материјали, организирање информативни сесии, и за општо информирање на младите луѓе во врска со изборот на образованието, побарувачката на работна сила и јавните услуги што им се достапни за олеснување на нивниот премин на работа (Мрежа на младински НВО, 100.000 евра).</w:t>
            </w: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lang w:val="mk-MK"/>
              </w:rPr>
            </w:pPr>
          </w:p>
        </w:tc>
        <w:tc>
          <w:tcPr>
            <w:tcW w:w="2687" w:type="dxa"/>
            <w:tcBorders>
              <w:top w:val="single" w:sz="12" w:space="0" w:color="4F81BD"/>
              <w:left w:val="single" w:sz="12" w:space="0" w:color="4F81BD"/>
              <w:bottom w:val="single" w:sz="4" w:space="0" w:color="4F81BD"/>
              <w:right w:val="single" w:sz="12" w:space="0" w:color="4F81BD"/>
            </w:tcBorders>
          </w:tcPr>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До 2020 година, најмалку 85 проценти од младите работници (15-29) се вработени на работни места што соодветствуваат на нивните квалификации;&lt;0}</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Неусогласеноста меѓу занимањата и вештините на македонскиот пазар на трудот не е повисока од 15 проценти.</w:t>
            </w:r>
          </w:p>
          <w:p w:rsidR="008A3D6C" w:rsidRPr="00BF7955" w:rsidRDefault="008A3D6C" w:rsidP="00BF7955">
            <w:pPr>
              <w:pStyle w:val="Paragrafoelenco1"/>
              <w:rPr>
                <w:rFonts w:ascii="StobiSerif Regular" w:hAnsi="StobiSerif Regular" w:cs="StobiSerif Regular"/>
                <w:lang w:val="mk-MK"/>
              </w:rPr>
            </w:pPr>
          </w:p>
        </w:tc>
        <w:tc>
          <w:tcPr>
            <w:tcW w:w="1470" w:type="dxa"/>
            <w:tcBorders>
              <w:top w:val="single" w:sz="12"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МТСП</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МОН</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АВРМ</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Младински НВО</w:t>
            </w:r>
          </w:p>
        </w:tc>
        <w:tc>
          <w:tcPr>
            <w:tcW w:w="1225" w:type="dxa"/>
            <w:tcBorders>
              <w:top w:val="single" w:sz="12"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нула</w:t>
            </w:r>
          </w:p>
        </w:tc>
        <w:tc>
          <w:tcPr>
            <w:tcW w:w="1590" w:type="dxa"/>
            <w:tcBorders>
              <w:top w:val="single" w:sz="12"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1.400.000 €</w:t>
            </w:r>
          </w:p>
        </w:tc>
        <w:tc>
          <w:tcPr>
            <w:tcW w:w="1024" w:type="dxa"/>
            <w:tcBorders>
              <w:top w:val="single" w:sz="12"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2016</w:t>
            </w:r>
          </w:p>
        </w:tc>
        <w:tc>
          <w:tcPr>
            <w:tcW w:w="923" w:type="dxa"/>
            <w:tcBorders>
              <w:top w:val="single" w:sz="12"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2020</w:t>
            </w:r>
          </w:p>
        </w:tc>
      </w:tr>
      <w:tr w:rsidR="008A3D6C" w:rsidRPr="00BF7955">
        <w:trPr>
          <w:jc w:val="center"/>
        </w:trPr>
        <w:tc>
          <w:tcPr>
            <w:tcW w:w="4750" w:type="dxa"/>
            <w:tcBorders>
              <w:top w:val="single" w:sz="4" w:space="0" w:color="4F81BD"/>
              <w:left w:val="single" w:sz="12" w:space="0" w:color="4F81BD"/>
              <w:bottom w:val="single" w:sz="4" w:space="0" w:color="4F81BD"/>
              <w:right w:val="single" w:sz="12" w:space="0" w:color="4F81BD"/>
            </w:tcBorders>
          </w:tcPr>
          <w:p w:rsidR="008A3D6C" w:rsidRPr="00BF7955" w:rsidRDefault="008A3D6C" w:rsidP="00BF7955">
            <w:pPr>
              <w:pStyle w:val="Paragrafoelenco1"/>
              <w:rPr>
                <w:rFonts w:ascii="StobiSerif Regular" w:hAnsi="StobiSerif Regular" w:cs="StobiSerif Regular"/>
                <w:b/>
                <w:bCs/>
                <w:i/>
                <w:iCs/>
                <w:lang w:val="mk-MK"/>
              </w:rPr>
            </w:pPr>
            <w:r w:rsidRPr="00BF7955">
              <w:rPr>
                <w:rFonts w:ascii="StobiSerif Regular" w:hAnsi="StobiSerif Regular" w:cs="StobiSerif Regular"/>
                <w:b/>
                <w:bCs/>
                <w:i/>
                <w:iCs/>
                <w:lang w:val="mk-MK"/>
              </w:rPr>
              <w:t xml:space="preserve">Исход 1.2 – Образовните исходи на младите македонски граѓани се подобруваат со текот на времето и соодветствуваат на барањата на пазарот на трудот </w:t>
            </w:r>
          </w:p>
          <w:p w:rsidR="008A3D6C" w:rsidRPr="00BF7955" w:rsidRDefault="008A3D6C" w:rsidP="00BF7955">
            <w:pPr>
              <w:pStyle w:val="Paragrafoelenco1"/>
              <w:rPr>
                <w:rFonts w:ascii="StobiSerif Regular" w:hAnsi="StobiSerif Regular" w:cs="StobiSerif Regular"/>
                <w:lang w:val="mk-MK"/>
              </w:rPr>
            </w:pPr>
          </w:p>
          <w:p w:rsidR="008A3D6C" w:rsidRPr="00BF7955" w:rsidRDefault="008A3D6C" w:rsidP="00BF7955">
            <w:pPr>
              <w:pStyle w:val="Paragrafoelenco1"/>
              <w:rPr>
                <w:rFonts w:ascii="StobiSerif Regular" w:hAnsi="StobiSerif Regular" w:cs="StobiSerif Regular"/>
                <w:b/>
                <w:bCs/>
                <w:lang w:val="mk-MK"/>
              </w:rPr>
            </w:pPr>
            <w:r w:rsidRPr="00BF7955">
              <w:rPr>
                <w:rFonts w:ascii="StobiSerif Regular" w:hAnsi="StobiSerif Regular" w:cs="StobiSerif Regular"/>
                <w:b/>
                <w:bCs/>
                <w:lang w:val="mk-MK"/>
              </w:rPr>
              <w:t>Почетна состојба</w:t>
            </w:r>
          </w:p>
          <w:p w:rsidR="008A3D6C" w:rsidRPr="00BF7955" w:rsidRDefault="008A3D6C" w:rsidP="00BF7955">
            <w:pPr>
              <w:rPr>
                <w:rFonts w:ascii="StobiSerif Regular" w:hAnsi="StobiSerif Regular" w:cs="StobiSerif Regular"/>
                <w:b/>
                <w:bCs/>
                <w:color w:val="0070C0"/>
                <w:lang w:val="mk-MK"/>
              </w:rPr>
            </w:pPr>
            <w:r w:rsidRPr="00BF7955">
              <w:rPr>
                <w:rFonts w:ascii="StobiSerif Regular" w:hAnsi="StobiSerif Regular" w:cs="StobiSerif Regular"/>
                <w:color w:val="000000"/>
                <w:sz w:val="22"/>
                <w:szCs w:val="22"/>
                <w:lang w:val="mk-MK"/>
              </w:rPr>
              <w:t>Во 2014 година, 67,5 проценти од младите работници (15-29) со завршено високо образование биле вработени на занимања што се соодветни на нивните квалификации.</w:t>
            </w:r>
          </w:p>
          <w:p w:rsidR="008A3D6C" w:rsidRPr="00BF7955" w:rsidRDefault="008A3D6C" w:rsidP="00BF7955">
            <w:pPr>
              <w:rPr>
                <w:rStyle w:val="tgc"/>
                <w:rFonts w:ascii="StobiSerif Regular" w:hAnsi="StobiSerif Regular" w:cs="StobiSerif Regular"/>
                <w:lang w:val="mk-MK"/>
              </w:rPr>
            </w:pPr>
            <w:r w:rsidRPr="00BF7955">
              <w:rPr>
                <w:rFonts w:ascii="StobiSerif Regular" w:hAnsi="StobiSerif Regular" w:cs="StobiSerif Regular"/>
                <w:color w:val="000000"/>
                <w:sz w:val="22"/>
                <w:szCs w:val="22"/>
                <w:lang w:val="mk-MK"/>
              </w:rPr>
              <w:t xml:space="preserve">Просечниот број на поени за читање во оценувањето во рамки на PISA што беше спроведено во 2000 година беше 373; математичката писменост доби 381 поени а научната писменост доби 401 пеон (во споредба со меѓународниот просек од 500 поени). </w:t>
            </w:r>
            <w:r w:rsidRPr="00BF7955">
              <w:rPr>
                <w:rFonts w:ascii="StobiSerif Regular" w:hAnsi="StobiSerif Regular" w:cs="StobiSerif Regular"/>
                <w:sz w:val="22"/>
                <w:szCs w:val="22"/>
                <w:lang w:val="mk-MK"/>
              </w:rPr>
              <w:t>Во оценувањето во рамките на TIMSS во 2003 година учениците од Македонија добија 445 поени, а во 2011 година добија 398 поени).</w:t>
            </w:r>
            <w:r w:rsidRPr="00BF7955">
              <w:rPr>
                <w:rStyle w:val="tgc"/>
                <w:rFonts w:ascii="StobiSerif Regular" w:hAnsi="StobiSerif Regular" w:cs="StobiSerif Regular"/>
                <w:sz w:val="22"/>
                <w:szCs w:val="22"/>
                <w:lang w:val="mk-MK"/>
              </w:rPr>
              <w:t xml:space="preserve">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Во 2014 година, уделот на младите лица </w:t>
            </w:r>
            <w:r w:rsidRPr="00BF7955">
              <w:rPr>
                <w:rStyle w:val="tgc"/>
                <w:rFonts w:ascii="StobiSerif Regular" w:hAnsi="StobiSerif Regular" w:cs="StobiSerif Regular"/>
                <w:sz w:val="22"/>
                <w:szCs w:val="22"/>
                <w:lang w:val="mk-MK"/>
              </w:rPr>
              <w:t>(15-24) најмногу тригодишно средно образование беше 12,5 проценти</w:t>
            </w:r>
          </w:p>
          <w:p w:rsidR="008A3D6C" w:rsidRPr="00BF7955" w:rsidRDefault="008A3D6C" w:rsidP="00BF7955">
            <w:pPr>
              <w:rPr>
                <w:rStyle w:val="Strong"/>
                <w:rFonts w:ascii="StobiSerif Regular" w:hAnsi="StobiSerif Regular" w:cs="StobiSerif Regular"/>
                <w:b w:val="0"/>
                <w:bCs w:val="0"/>
                <w:lang w:val="mk-MK"/>
              </w:rPr>
            </w:pPr>
            <w:r w:rsidRPr="00BF7955">
              <w:rPr>
                <w:rFonts w:ascii="StobiSerif Regular" w:hAnsi="StobiSerif Regular" w:cs="StobiSerif Regular"/>
                <w:b/>
                <w:bCs/>
                <w:sz w:val="22"/>
                <w:szCs w:val="22"/>
                <w:lang w:val="mk-MK"/>
              </w:rPr>
              <w:t xml:space="preserve">Во учебната година 2013/14, бројот на студентите што се запишале на државниот универзитет </w:t>
            </w:r>
            <w:r w:rsidRPr="00BF7955">
              <w:rPr>
                <w:rFonts w:ascii="StobiSerif Regular" w:hAnsi="StobiSerif Regular" w:cs="StobiSerif Regular"/>
                <w:sz w:val="22"/>
                <w:szCs w:val="22"/>
                <w:lang w:val="mk-MK"/>
              </w:rPr>
              <w:t xml:space="preserve">на природонаучни, математички, компјутерски, технички, производни и градежни насоки претставувал 27 проценти од вкупниот број на универзитетски студенти. </w:t>
            </w:r>
          </w:p>
          <w:p w:rsidR="008A3D6C" w:rsidRPr="00BF7955" w:rsidRDefault="008A3D6C" w:rsidP="00BF7955">
            <w:pPr>
              <w:rPr>
                <w:rStyle w:val="Strong"/>
                <w:rFonts w:ascii="StobiSerif Regular" w:hAnsi="StobiSerif Regular" w:cs="StobiSerif Regular"/>
                <w:b w:val="0"/>
                <w:bCs w:val="0"/>
                <w:lang w:val="mk-MK"/>
              </w:rPr>
            </w:pPr>
            <w:r w:rsidRPr="00BF7955">
              <w:rPr>
                <w:rFonts w:ascii="StobiSerif Regular" w:hAnsi="StobiSerif Regular" w:cs="StobiSerif Regular"/>
                <w:b/>
                <w:bCs/>
                <w:sz w:val="22"/>
                <w:szCs w:val="22"/>
                <w:lang w:val="mk-MK"/>
              </w:rPr>
              <w:t>Во 2014 година бројот на младите лица (15-29) во работната сила што имале само основно образование изнесувал вкупно 36.900 лица (16 проценти од младите лица во работната сила).</w:t>
            </w:r>
            <w:r w:rsidRPr="00BF7955">
              <w:rPr>
                <w:rStyle w:val="Strong"/>
                <w:rFonts w:ascii="StobiSerif Regular" w:hAnsi="StobiSerif Regular" w:cs="StobiSerif Regular"/>
                <w:sz w:val="22"/>
                <w:szCs w:val="22"/>
                <w:lang w:val="mk-MK"/>
              </w:rPr>
              <w:t xml:space="preserve"> </w:t>
            </w:r>
            <w:r w:rsidRPr="00BF7955">
              <w:rPr>
                <w:rFonts w:ascii="StobiSerif Regular" w:hAnsi="StobiSerif Regular" w:cs="StobiSerif Regular"/>
                <w:b/>
                <w:bCs/>
                <w:sz w:val="22"/>
                <w:szCs w:val="22"/>
                <w:lang w:val="mk-MK"/>
              </w:rPr>
              <w:t>Не постоела програма за обука што води кон ISCED 3 квалификации</w:t>
            </w:r>
          </w:p>
          <w:p w:rsidR="008A3D6C" w:rsidRPr="00BF7955" w:rsidRDefault="008A3D6C" w:rsidP="00BF7955">
            <w:pPr>
              <w:rPr>
                <w:rStyle w:val="Strong"/>
                <w:rFonts w:ascii="StobiSerif Regular" w:hAnsi="StobiSerif Regular" w:cs="StobiSerif Regular"/>
                <w:b w:val="0"/>
                <w:bCs w:val="0"/>
                <w:lang w:val="mk-MK"/>
              </w:rPr>
            </w:pPr>
            <w:r w:rsidRPr="00BF7955">
              <w:rPr>
                <w:rFonts w:ascii="StobiSerif Regular" w:hAnsi="StobiSerif Regular" w:cs="StobiSerif Regular"/>
                <w:b/>
                <w:bCs/>
                <w:sz w:val="22"/>
                <w:szCs w:val="22"/>
                <w:lang w:val="mk-MK"/>
              </w:rPr>
              <w:t>Светскиот извештај за конкурентност 2014/2015 наведува дека 11 проценти од македонските претпријатија сметаат дека ниското образовно ниво на работната сила претставува пречка за водење бизнис.</w:t>
            </w:r>
            <w:r w:rsidRPr="00BF7955">
              <w:rPr>
                <w:rStyle w:val="Strong"/>
                <w:rFonts w:ascii="StobiSerif Regular" w:hAnsi="StobiSerif Regular" w:cs="StobiSerif Regular"/>
                <w:sz w:val="22"/>
                <w:szCs w:val="22"/>
                <w:lang w:val="mk-MK"/>
              </w:rPr>
              <w:t xml:space="preserve"> </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Аутпути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1.2.1. </w:t>
            </w:r>
            <w:r w:rsidRPr="00BF7955">
              <w:rPr>
                <w:rFonts w:ascii="StobiSerif Regular" w:hAnsi="StobiSerif Regular" w:cs="StobiSerif Regular"/>
                <w:sz w:val="22"/>
                <w:szCs w:val="22"/>
                <w:lang w:val="mk-MK"/>
              </w:rPr>
              <w:t>Системот за образование и обука го усогласува обезбедувањето на своите услуги со наодите на системот за предвидување вештини (МОН, 250.000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1.2.2 </w:t>
            </w:r>
            <w:r w:rsidRPr="00BF7955">
              <w:rPr>
                <w:rFonts w:ascii="StobiSerif Regular" w:hAnsi="StobiSerif Regular" w:cs="StobiSerif Regular"/>
                <w:sz w:val="22"/>
                <w:szCs w:val="22"/>
                <w:lang w:val="mk-MK"/>
              </w:rPr>
              <w:t>Учениците од Македонија редовно учествуваат во меѓународните програми за оценување (PISA и TIMSS) и нивните резултати обезбедуваат информации за реформите на образованието за подобрување на когнитивните и некогнитивните вештини (МОН, 160.000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1.2.3.</w:t>
            </w:r>
            <w:r w:rsidRPr="00BF7955">
              <w:rPr>
                <w:rFonts w:ascii="StobiSerif Regular" w:hAnsi="StobiSerif Regular" w:cs="StobiSerif Regular"/>
                <w:sz w:val="22"/>
                <w:szCs w:val="22"/>
                <w:lang w:val="mk-MK"/>
              </w:rPr>
              <w:t>Системот за стипендирање на МОН е проширен за да се обезбедат стимулации за младите луѓе (на ниво на средно и високо образование) да се запишуваат на насоките за кои што се предвидува дека ќе бидат дефицитарни на пазарот на трудот (МОН, 5.250.000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1.2.4.</w:t>
            </w:r>
            <w:r w:rsidRPr="00BF7955">
              <w:rPr>
                <w:rFonts w:ascii="StobiSerif Regular" w:hAnsi="StobiSerif Regular" w:cs="StobiSerif Regular"/>
                <w:sz w:val="22"/>
                <w:szCs w:val="22"/>
                <w:lang w:val="mk-MK"/>
              </w:rPr>
              <w:t>Редовно се спроведуваат студии за следење – како дел од активностите на Опсерваторијата на вештини – на лицата што завршиле средно и високо образование за да се потврди усогласеноста на образовните исходи со потребите на пазарот на трудот (Опсерваторија на вештини, МОН, без трошоци);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1.2.5. </w:t>
            </w:r>
            <w:r w:rsidRPr="00BF7955">
              <w:rPr>
                <w:rFonts w:ascii="StobiSerif Regular" w:hAnsi="StobiSerif Regular" w:cs="StobiSerif Regular"/>
                <w:sz w:val="22"/>
                <w:szCs w:val="22"/>
                <w:lang w:val="mk-MK"/>
              </w:rPr>
              <w:t>Системот за идентификација на ризикот од предвремено напуштање на образованието е достапен во целата земја и води кон интензивна и индивидуализирана поддршка за останување на училиште и стекнување квалификации (МОН, 1.750.000 евра);</w:t>
            </w:r>
          </w:p>
          <w:p w:rsidR="008A3D6C" w:rsidRPr="00BF7955" w:rsidRDefault="008A3D6C" w:rsidP="00BF7955">
            <w:pPr>
              <w:rPr>
                <w:rFonts w:ascii="StobiSerif Regular" w:hAnsi="StobiSerif Regular" w:cs="StobiSerif Regular"/>
                <w:i/>
                <w:iCs/>
                <w:lang w:val="mk-MK"/>
              </w:rPr>
            </w:pPr>
            <w:r w:rsidRPr="00BF7955">
              <w:rPr>
                <w:rFonts w:ascii="StobiSerif Regular" w:hAnsi="StobiSerif Regular" w:cs="StobiSerif Regular"/>
                <w:i/>
                <w:iCs/>
                <w:sz w:val="22"/>
                <w:szCs w:val="22"/>
                <w:lang w:val="mk-MK"/>
              </w:rPr>
              <w:t>1.2.6.</w:t>
            </w:r>
            <w:r w:rsidRPr="00BF7955">
              <w:rPr>
                <w:rFonts w:ascii="StobiSerif Regular" w:hAnsi="StobiSerif Regular" w:cs="StobiSerif Regular"/>
                <w:sz w:val="22"/>
                <w:szCs w:val="22"/>
                <w:lang w:val="mk-MK"/>
              </w:rPr>
              <w:t>ISCED 3 проектот на МОН им обезбедува на младите лица без квалификации краткорочни програми за обука за да стекнат квалификации што се бараат на пазарот на трудот (МОН, 250.000 евра)</w:t>
            </w:r>
          </w:p>
          <w:p w:rsidR="008A3D6C" w:rsidRPr="00BF7955" w:rsidDel="003A2415" w:rsidRDefault="008A3D6C" w:rsidP="00BF7955">
            <w:pPr>
              <w:rPr>
                <w:rFonts w:ascii="StobiSerif Regular" w:hAnsi="StobiSerif Regular" w:cs="StobiSerif Regular"/>
                <w:lang w:val="mk-MK"/>
              </w:rPr>
            </w:pPr>
          </w:p>
        </w:tc>
        <w:tc>
          <w:tcPr>
            <w:tcW w:w="2687" w:type="dxa"/>
            <w:tcBorders>
              <w:top w:val="single" w:sz="4" w:space="0" w:color="4F81BD"/>
              <w:left w:val="single" w:sz="12" w:space="0" w:color="4F81BD"/>
              <w:bottom w:val="single" w:sz="4" w:space="0" w:color="4F81BD"/>
              <w:right w:val="single" w:sz="12" w:space="0" w:color="4F81BD"/>
            </w:tcBorders>
          </w:tcPr>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85 проценти од младите лица (15-29) со високо образование се вработени на места што се соодветни за нивните квалификации;</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Усогласување на резултатите на студентите од Македонија на меѓународните тестирања PISA и TIMMS со меѓународниот просек;</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Помалку од 10 проценти од младите лица (15-24) го напуштаат образовниот систем со најмногу тригодишно средно образование;</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30 проценти од универзитетските студенти се запишани на природонаучни, математички, компјутерски, технички, производни и градежни насоки;</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Најмалку 5 проценти од младите лица во работната сила што имаат само основно образование посетуваат програми за обука на годишно ниво со што добиваат квалификации што се признаени на пазарот на трудот (ISCED 3);</w:t>
            </w:r>
          </w:p>
          <w:p w:rsidR="008A3D6C" w:rsidRPr="00BF7955" w:rsidDel="003A2415" w:rsidRDefault="008A3D6C" w:rsidP="00BF7955">
            <w:pPr>
              <w:pStyle w:val="ListParagraph"/>
              <w:rPr>
                <w:rFonts w:ascii="StobiSerif Regular" w:hAnsi="StobiSerif Regular" w:cs="StobiSerif Regular"/>
                <w:lang w:val="mk-MK"/>
              </w:rPr>
            </w:pPr>
            <w:r w:rsidRPr="00BF7955">
              <w:rPr>
                <w:rFonts w:ascii="StobiSerif Regular" w:hAnsi="StobiSerif Regular" w:cs="StobiSerif Regular"/>
                <w:sz w:val="22"/>
                <w:szCs w:val="22"/>
                <w:lang w:val="mk-MK"/>
              </w:rPr>
              <w:t>Најмалку 8 проценти од претпријатијата што се анкетирани во рамките на Светскиот извештај за конкурентност упатуваат на образованието на работната сила како најпроблематичен фактор за водење бизнис.</w:t>
            </w:r>
          </w:p>
        </w:tc>
        <w:tc>
          <w:tcPr>
            <w:tcW w:w="1470" w:type="dxa"/>
            <w:tcBorders>
              <w:top w:val="single" w:sz="4"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МОН</w:t>
            </w:r>
          </w:p>
          <w:p w:rsidR="008A3D6C" w:rsidRPr="00BF7955" w:rsidRDefault="008A3D6C" w:rsidP="00BF7955">
            <w:pPr>
              <w:rPr>
                <w:rFonts w:ascii="StobiSerif Regular" w:hAnsi="StobiSerif Regular" w:cs="StobiSerif Regular"/>
                <w:lang w:val="mk-MK"/>
              </w:rPr>
            </w:pPr>
          </w:p>
        </w:tc>
        <w:tc>
          <w:tcPr>
            <w:tcW w:w="1225" w:type="dxa"/>
            <w:tcBorders>
              <w:top w:val="single" w:sz="4"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€6.300.000</w:t>
            </w:r>
          </w:p>
        </w:tc>
        <w:tc>
          <w:tcPr>
            <w:tcW w:w="1590" w:type="dxa"/>
            <w:tcBorders>
              <w:top w:val="single" w:sz="4"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€1.360.000</w:t>
            </w:r>
          </w:p>
        </w:tc>
        <w:tc>
          <w:tcPr>
            <w:tcW w:w="1024" w:type="dxa"/>
            <w:tcBorders>
              <w:top w:val="single" w:sz="4"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2016</w:t>
            </w:r>
          </w:p>
        </w:tc>
        <w:tc>
          <w:tcPr>
            <w:tcW w:w="923" w:type="dxa"/>
            <w:tcBorders>
              <w:top w:val="single" w:sz="4" w:space="0" w:color="4F81BD"/>
              <w:left w:val="single" w:sz="12" w:space="0" w:color="4F81BD"/>
              <w:bottom w:val="single" w:sz="4"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2020</w:t>
            </w:r>
          </w:p>
        </w:tc>
      </w:tr>
      <w:tr w:rsidR="008A3D6C" w:rsidRPr="00BF7955">
        <w:trPr>
          <w:jc w:val="center"/>
        </w:trPr>
        <w:tc>
          <w:tcPr>
            <w:tcW w:w="4750" w:type="dxa"/>
            <w:tcBorders>
              <w:top w:val="single" w:sz="4"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Исход 1.3 – Младите луѓе имаат пристап до квалитетна настава и услуги за кариерно насочување</w:t>
            </w:r>
          </w:p>
          <w:p w:rsidR="008A3D6C" w:rsidRPr="00BF7955" w:rsidRDefault="008A3D6C" w:rsidP="00BF7955">
            <w:pPr>
              <w:rPr>
                <w:rFonts w:ascii="StobiSerif Regular" w:hAnsi="StobiSerif Regular" w:cs="StobiSerif Regular"/>
                <w:b/>
                <w:bCs/>
                <w:color w:val="0070C0"/>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Почетна состојба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Во 2014 година, 50 општи средни училишта нуделе настава за кариерно насочување како изборен предмет (со приближно 4.000 што ја посетувале наставата), додека, пак, 36.000 ученици во средните училишта за стручно образование имале пристап до услугите на центрите за кариерен развој. Не е предвидена настава за кариерно насочување на ниво на основно образование.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На крајот на 2014 година, приближно 30.600 млади лица (15-29) биле пријавени во АВРМ и добивале основни информации за пазарот на трудот. Во истата година, бројот на младите лица (15-29 ) што биле корисници на структурирана помош при барањето работа и кариерно насочување изнесувал 2.950 лица  </w:t>
            </w: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 xml:space="preserve">Аутпути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1.3.1 </w:t>
            </w:r>
            <w:r w:rsidRPr="00BF7955">
              <w:rPr>
                <w:rFonts w:ascii="StobiSerif Regular" w:hAnsi="StobiSerif Regular" w:cs="StobiSerif Regular"/>
                <w:sz w:val="22"/>
                <w:szCs w:val="22"/>
                <w:lang w:val="mk-MK"/>
              </w:rPr>
              <w:t>Квалитетни услуги за образование за кариерно насочување – што се засноваат врз системот за предвидуваше вештини и вклучуваат модули за правата на работното место - им се обезбедуваат на учениците и студентите од сите нивоа на образовниот систем (на крајот на задолжителното образование, во текот на средното образование и во високото образование) како дел од наставната програма на државно ниво (МОН, 500.000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1.3.2. </w:t>
            </w:r>
            <w:r w:rsidRPr="00BF7955">
              <w:rPr>
                <w:rFonts w:ascii="StobiSerif Regular" w:hAnsi="StobiSerif Regular" w:cs="StobiSerif Regular"/>
                <w:sz w:val="22"/>
                <w:szCs w:val="22"/>
                <w:lang w:val="mk-MK"/>
              </w:rPr>
              <w:t>Веродостојни и ажурирани информации за пазарот на трудот - засновани врз системот за предвидување вештини - им се обезбедуваат на сите млади лица што се пријавени како невработени во локалните центри за вработување (АВРМ, 500.000 евра).</w:t>
            </w:r>
          </w:p>
          <w:p w:rsidR="008A3D6C" w:rsidRPr="00BF7955" w:rsidRDefault="008A3D6C" w:rsidP="00BF7955">
            <w:pPr>
              <w:rPr>
                <w:rFonts w:ascii="StobiSerif Regular" w:hAnsi="StobiSerif Regular" w:cs="StobiSerif Regular"/>
                <w:i/>
                <w:iCs/>
                <w:lang w:val="mk-MK"/>
              </w:rPr>
            </w:pPr>
            <w:r w:rsidRPr="00BF7955">
              <w:rPr>
                <w:rFonts w:ascii="StobiSerif Regular" w:hAnsi="StobiSerif Regular" w:cs="StobiSerif Regular"/>
                <w:i/>
                <w:iCs/>
                <w:sz w:val="22"/>
                <w:szCs w:val="22"/>
                <w:lang w:val="mk-MK"/>
              </w:rPr>
              <w:t xml:space="preserve">1.3.3. </w:t>
            </w:r>
            <w:r w:rsidRPr="00BF7955">
              <w:rPr>
                <w:rFonts w:ascii="StobiSerif Regular" w:hAnsi="StobiSerif Regular" w:cs="StobiSerif Regular"/>
                <w:sz w:val="22"/>
                <w:szCs w:val="22"/>
                <w:lang w:val="mk-MK"/>
              </w:rPr>
              <w:t>Сите млади невработени лица што првпат се пријавуваат во АВРМ добиваат услуги за кариерно насочување и советување за вработување за подобрување на нивните капацитети за снаоѓање на пазарот на трудот (АВРМ, 1.000.000 евра)</w:t>
            </w:r>
          </w:p>
        </w:tc>
        <w:tc>
          <w:tcPr>
            <w:tcW w:w="2687" w:type="dxa"/>
            <w:tcBorders>
              <w:top w:val="single" w:sz="4" w:space="0" w:color="4F81BD"/>
              <w:left w:val="single" w:sz="12" w:space="0" w:color="4F81BD"/>
              <w:bottom w:val="single" w:sz="12" w:space="0" w:color="4F81BD"/>
              <w:right w:val="single" w:sz="12" w:space="0" w:color="4F81BD"/>
            </w:tcBorders>
          </w:tcPr>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До 2020 година, сите ученици и студенти во Македонија добиваат настава за кариерно насочување во последната година од основното образование и во целиот тек на средното и високото образование;</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Сите млади лица што се пријавени во Агенцијата за вработување имаат пристап до квалитетни информации за пазарот на трудот;</w:t>
            </w:r>
          </w:p>
          <w:p w:rsidR="008A3D6C" w:rsidRPr="00BF7955" w:rsidDel="003A2415" w:rsidRDefault="008A3D6C" w:rsidP="00BF7955">
            <w:pPr>
              <w:pStyle w:val="ListParagraph"/>
              <w:rPr>
                <w:rFonts w:ascii="StobiSerif Regular" w:hAnsi="StobiSerif Regular" w:cs="StobiSerif Regular"/>
                <w:lang w:val="mk-MK"/>
              </w:rPr>
            </w:pPr>
            <w:r w:rsidRPr="00BF7955">
              <w:rPr>
                <w:rFonts w:ascii="StobiSerif Regular" w:hAnsi="StobiSerif Regular" w:cs="StobiSerif Regular"/>
                <w:sz w:val="22"/>
                <w:szCs w:val="22"/>
                <w:lang w:val="mk-MK"/>
              </w:rPr>
              <w:t>Сите млади лица кои првпат се пријавуваат во АВРМ добиваат групни услуги за кариерно насочување и советување за вработување (кратка обука за подготовка за вработување).</w:t>
            </w:r>
          </w:p>
        </w:tc>
        <w:tc>
          <w:tcPr>
            <w:tcW w:w="1470" w:type="dxa"/>
            <w:tcBorders>
              <w:top w:val="single" w:sz="4"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МТСП</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МОН</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АВРМ</w:t>
            </w:r>
          </w:p>
          <w:p w:rsidR="008A3D6C" w:rsidRPr="00BF7955" w:rsidRDefault="008A3D6C" w:rsidP="00BF7955">
            <w:pPr>
              <w:rPr>
                <w:rFonts w:ascii="StobiSerif Regular" w:hAnsi="StobiSerif Regular" w:cs="StobiSerif Regular"/>
                <w:lang w:val="mk-MK"/>
              </w:rPr>
            </w:pPr>
          </w:p>
        </w:tc>
        <w:tc>
          <w:tcPr>
            <w:tcW w:w="1225" w:type="dxa"/>
            <w:tcBorders>
              <w:top w:val="single" w:sz="4"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p>
        </w:tc>
        <w:tc>
          <w:tcPr>
            <w:tcW w:w="1590" w:type="dxa"/>
            <w:tcBorders>
              <w:top w:val="single" w:sz="4"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€2.000.000</w:t>
            </w:r>
          </w:p>
        </w:tc>
        <w:tc>
          <w:tcPr>
            <w:tcW w:w="1024" w:type="dxa"/>
            <w:tcBorders>
              <w:top w:val="single" w:sz="4"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2016</w:t>
            </w:r>
          </w:p>
        </w:tc>
        <w:tc>
          <w:tcPr>
            <w:tcW w:w="923" w:type="dxa"/>
            <w:tcBorders>
              <w:top w:val="single" w:sz="4"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2020</w:t>
            </w:r>
          </w:p>
        </w:tc>
      </w:tr>
    </w:tbl>
    <w:p w:rsidR="008A3D6C" w:rsidRPr="00BF7955" w:rsidRDefault="008A3D6C" w:rsidP="00E354A2">
      <w:pPr>
        <w:rPr>
          <w:rFonts w:ascii="StobiSerif Regular" w:hAnsi="StobiSerif Regular" w:cs="StobiSerif Regular"/>
          <w:sz w:val="22"/>
          <w:szCs w:val="22"/>
          <w:lang w:val="mk-MK"/>
        </w:rPr>
      </w:pPr>
    </w:p>
    <w:p w:rsidR="008A3D6C" w:rsidRPr="00BF7955" w:rsidRDefault="008A3D6C" w:rsidP="00E354A2">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br w:type="page"/>
      </w:r>
    </w:p>
    <w:p w:rsidR="008A3D6C" w:rsidRPr="00BF7955" w:rsidRDefault="008A3D6C" w:rsidP="00E354A2">
      <w:pPr>
        <w:rPr>
          <w:rFonts w:ascii="StobiSerif Regular" w:hAnsi="StobiSerif Regular" w:cs="StobiSerif Regular"/>
          <w:sz w:val="22"/>
          <w:szCs w:val="22"/>
          <w:lang w:val="mk-MK"/>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3"/>
        <w:gridCol w:w="2665"/>
        <w:gridCol w:w="1695"/>
        <w:gridCol w:w="1567"/>
        <w:gridCol w:w="1792"/>
        <w:gridCol w:w="1167"/>
        <w:gridCol w:w="807"/>
      </w:tblGrid>
      <w:tr w:rsidR="008A3D6C" w:rsidRPr="00BF7955">
        <w:trPr>
          <w:jc w:val="center"/>
        </w:trPr>
        <w:tc>
          <w:tcPr>
            <w:tcW w:w="13669" w:type="dxa"/>
            <w:gridSpan w:val="7"/>
            <w:tcBorders>
              <w:top w:val="single" w:sz="12" w:space="0" w:color="4F81BD"/>
              <w:left w:val="single" w:sz="12" w:space="0" w:color="4F81BD"/>
              <w:bottom w:val="single" w:sz="12" w:space="0" w:color="4F81BD"/>
              <w:right w:val="single" w:sz="12" w:space="0" w:color="4F81BD"/>
            </w:tcBorders>
            <w:shd w:val="clear" w:color="auto" w:fill="B8CCE4"/>
          </w:tcPr>
          <w:p w:rsidR="008A3D6C" w:rsidRPr="00BF7955" w:rsidRDefault="008A3D6C" w:rsidP="00BF7955">
            <w:pPr>
              <w:pStyle w:val="Paragrafoelenco1"/>
              <w:rPr>
                <w:rFonts w:ascii="StobiSerif Regular" w:hAnsi="StobiSerif Regular" w:cs="StobiSerif Regular"/>
                <w:b/>
                <w:bCs/>
                <w:i/>
                <w:iCs/>
                <w:lang w:val="mk-MK"/>
              </w:rPr>
            </w:pPr>
            <w:r w:rsidRPr="00BF7955">
              <w:rPr>
                <w:rFonts w:ascii="StobiSerif Regular" w:hAnsi="StobiSerif Regular" w:cs="StobiSerif Regular"/>
                <w:b/>
                <w:bCs/>
                <w:lang w:val="mk-MK"/>
              </w:rPr>
              <w:t>Цел:</w:t>
            </w:r>
            <w:r w:rsidRPr="00BF7955">
              <w:rPr>
                <w:rFonts w:ascii="StobiSerif Regular" w:hAnsi="StobiSerif Regular" w:cs="StobiSerif Regular"/>
                <w:b/>
                <w:bCs/>
                <w:lang w:val="mk-MK"/>
              </w:rPr>
              <w:tab/>
            </w:r>
            <w:r w:rsidRPr="00BF7955">
              <w:rPr>
                <w:rFonts w:ascii="StobiSerif Regular" w:hAnsi="StobiSerif Regular" w:cs="StobiSerif Regular"/>
                <w:b/>
                <w:bCs/>
                <w:i/>
                <w:iCs/>
                <w:lang w:val="mk-MK"/>
              </w:rPr>
              <w:t xml:space="preserve">Промовирање на отворањето (формални) работни места предводено од приватниот сектор </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Зацртана цел</w:t>
            </w:r>
            <w:r w:rsidRPr="00BF7955">
              <w:rPr>
                <w:rFonts w:ascii="StobiSerif Regular" w:hAnsi="StobiSerif Regular" w:cs="StobiSerif Regular"/>
                <w:b/>
                <w:bCs/>
                <w:sz w:val="22"/>
                <w:szCs w:val="22"/>
                <w:lang w:val="mk-MK"/>
              </w:rPr>
              <w:tab/>
              <w:t xml:space="preserve"> </w:t>
            </w:r>
            <w:r w:rsidRPr="00BF7955">
              <w:rPr>
                <w:rFonts w:ascii="StobiSerif Regular" w:hAnsi="StobiSerif Regular" w:cs="StobiSerif Regular"/>
                <w:b/>
                <w:bCs/>
                <w:sz w:val="22"/>
                <w:szCs w:val="22"/>
                <w:lang w:val="mk-MK"/>
              </w:rPr>
              <w:tab/>
              <w:t xml:space="preserve">зголемување од 5 процентни поени на уделот на младите лица (15-29) што се вработени </w:t>
            </w:r>
          </w:p>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ab/>
            </w:r>
            <w:r w:rsidRPr="00BF7955">
              <w:rPr>
                <w:rFonts w:ascii="StobiSerif Regular" w:hAnsi="StobiSerif Regular" w:cs="StobiSerif Regular"/>
                <w:b/>
                <w:bCs/>
                <w:sz w:val="22"/>
                <w:szCs w:val="22"/>
                <w:lang w:val="mk-MK"/>
              </w:rPr>
              <w:tab/>
            </w:r>
          </w:p>
        </w:tc>
      </w:tr>
      <w:tr w:rsidR="008A3D6C" w:rsidRPr="00BF7955">
        <w:trPr>
          <w:jc w:val="center"/>
        </w:trPr>
        <w:tc>
          <w:tcPr>
            <w:tcW w:w="4750"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ИСХОДИ И АУТПУТИ</w:t>
            </w:r>
          </w:p>
        </w:tc>
        <w:tc>
          <w:tcPr>
            <w:tcW w:w="2687"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ПОКАЗАТЕЛИ</w:t>
            </w:r>
          </w:p>
          <w:p w:rsidR="008A3D6C" w:rsidRPr="00BF7955" w:rsidRDefault="008A3D6C" w:rsidP="00BF7955">
            <w:pPr>
              <w:rPr>
                <w:rFonts w:ascii="StobiSerif Regular" w:hAnsi="StobiSerif Regular" w:cs="StobiSerif Regular"/>
                <w:lang w:val="mk-MK"/>
              </w:rPr>
            </w:pPr>
          </w:p>
        </w:tc>
        <w:tc>
          <w:tcPr>
            <w:tcW w:w="1470"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ОДГОВОРНА ЕДИНИЦА</w:t>
            </w:r>
          </w:p>
        </w:tc>
        <w:tc>
          <w:tcPr>
            <w:tcW w:w="2815" w:type="dxa"/>
            <w:gridSpan w:val="2"/>
            <w:tcBorders>
              <w:top w:val="single" w:sz="12" w:space="0" w:color="4F81BD"/>
              <w:left w:val="single" w:sz="12" w:space="0" w:color="4F81BD"/>
              <w:bottom w:val="single" w:sz="12" w:space="0" w:color="4F81BD"/>
              <w:right w:val="nil"/>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ФИНАНСИСКИ ИНПУТ</w:t>
            </w:r>
          </w:p>
        </w:tc>
        <w:tc>
          <w:tcPr>
            <w:tcW w:w="1947" w:type="dxa"/>
            <w:gridSpan w:val="2"/>
            <w:tcBorders>
              <w:top w:val="single" w:sz="12" w:space="0" w:color="4F81BD"/>
              <w:left w:val="nil"/>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ВРЕМЕНСКА РАМКА</w:t>
            </w:r>
          </w:p>
        </w:tc>
      </w:tr>
      <w:tr w:rsidR="008A3D6C" w:rsidRPr="00BF7955">
        <w:trPr>
          <w:jc w:val="center"/>
        </w:trPr>
        <w:tc>
          <w:tcPr>
            <w:tcW w:w="4750"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i/>
                <w:iCs/>
                <w:lang w:val="mk-MK"/>
              </w:rPr>
            </w:pPr>
          </w:p>
        </w:tc>
        <w:tc>
          <w:tcPr>
            <w:tcW w:w="2687"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p>
        </w:tc>
        <w:tc>
          <w:tcPr>
            <w:tcW w:w="1470"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p>
        </w:tc>
        <w:tc>
          <w:tcPr>
            <w:tcW w:w="1225"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Обезбедени</w:t>
            </w:r>
            <w:r w:rsidRPr="00BF7955" w:rsidDel="00101A46">
              <w:rPr>
                <w:rFonts w:ascii="StobiSerif Regular" w:hAnsi="StobiSerif Regular" w:cs="StobiSerif Regular"/>
                <w:b/>
                <w:bCs/>
                <w:sz w:val="22"/>
                <w:szCs w:val="22"/>
                <w:lang w:val="mk-MK"/>
              </w:rPr>
              <w:t xml:space="preserve"> </w:t>
            </w:r>
          </w:p>
        </w:tc>
        <w:tc>
          <w:tcPr>
            <w:tcW w:w="1590"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 xml:space="preserve">Сè уште необезбедени  </w:t>
            </w:r>
          </w:p>
        </w:tc>
        <w:tc>
          <w:tcPr>
            <w:tcW w:w="1024"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Почеток</w:t>
            </w:r>
          </w:p>
        </w:tc>
        <w:tc>
          <w:tcPr>
            <w:tcW w:w="923"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Крај</w:t>
            </w:r>
          </w:p>
        </w:tc>
      </w:tr>
      <w:tr w:rsidR="008A3D6C" w:rsidRPr="00BF7955">
        <w:trPr>
          <w:jc w:val="center"/>
        </w:trPr>
        <w:tc>
          <w:tcPr>
            <w:tcW w:w="4750"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Исход 2.1: Воспоставен е пакет од стимулации за унапредување на капацитетот на претпријатијата за отворање работни места за младите лица</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pStyle w:val="Paragrafoelenco1"/>
              <w:rPr>
                <w:rFonts w:ascii="StobiSerif Regular" w:hAnsi="StobiSerif Regular" w:cs="StobiSerif Regular"/>
                <w:b/>
                <w:bCs/>
                <w:i/>
                <w:iCs/>
                <w:lang w:val="mk-MK"/>
              </w:rPr>
            </w:pPr>
            <w:r w:rsidRPr="00BF7955">
              <w:rPr>
                <w:rFonts w:ascii="StobiSerif Regular" w:hAnsi="StobiSerif Regular" w:cs="StobiSerif Regular"/>
                <w:b/>
                <w:bCs/>
                <w:i/>
                <w:iCs/>
                <w:lang w:val="mk-MK"/>
              </w:rPr>
              <w:t>Почетна состојба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Тековно не постојат врски меѓу инвестициската програма на Владата и услугите за вработување што се на располагање во АВРМ.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Системот од стимулации што е утврден со член 98 на </w:t>
            </w:r>
            <w:r w:rsidRPr="00BF7955">
              <w:rPr>
                <w:rFonts w:ascii="StobiSerif Regular" w:hAnsi="StobiSerif Regular" w:cs="StobiSerif Regular"/>
                <w:i/>
                <w:iCs/>
                <w:sz w:val="22"/>
                <w:szCs w:val="22"/>
                <w:lang w:val="mk-MK"/>
              </w:rPr>
              <w:t>Законот за вработување и осигурување во случај на невработеност</w:t>
            </w:r>
            <w:r w:rsidRPr="00BF7955">
              <w:rPr>
                <w:rFonts w:ascii="StobiSerif Regular" w:hAnsi="StobiSerif Regular" w:cs="StobiSerif Regular"/>
                <w:sz w:val="22"/>
                <w:szCs w:val="22"/>
                <w:lang w:val="mk-MK"/>
              </w:rPr>
              <w:t xml:space="preserve"> престанува да важи во 2016 година.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Не постојат врски меѓу кредитните инструменти на Македонската банка за поддршка на развојот и услугите за развој на деловното работење.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До 2014 година, проектите што се финансирале од Македонската банка за поддршка на развојот генерирале 6.229 нови работни места.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Во 2015 година Македонија беше рангирана на 63-то место на Светскиот индекс на конкурентноста.</w:t>
            </w:r>
            <w:r w:rsidRPr="00BF7955">
              <w:rPr>
                <w:rFonts w:ascii="StobiSerif Regular" w:hAnsi="StobiSerif Regular" w:cs="StobiSerif Regular"/>
                <w:sz w:val="22"/>
                <w:szCs w:val="22"/>
                <w:lang w:val="mk-MK" w:eastAsia="en-GB"/>
              </w:rPr>
              <w:t xml:space="preserve"> Според технолошката апсорпција на ниво на друштвата, земјата беше рангирана на 105-то место, според капацитетот за иновации на 91-во место, според достапноста на финансиските услуги на 76-то место, според достапноста на најновата технологија на 69-то место и според леснотијата на пристапот до заеми на 55-то место. </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Аутпути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2.1.1 </w:t>
            </w:r>
            <w:r w:rsidRPr="00BF7955">
              <w:rPr>
                <w:rFonts w:ascii="StobiSerif Regular" w:hAnsi="StobiSerif Regular" w:cs="StobiSerif Regular"/>
                <w:sz w:val="22"/>
                <w:szCs w:val="22"/>
                <w:lang w:val="mk-MK"/>
              </w:rPr>
              <w:t>Пакет иницијативи – вклучувајќи услуги за посредување, субвенции и програми за обука – се обезбедуваат од страна на АВРМ на претпријатијата што се вклучени во развојот на инфраструктурата со цел да се зголеми вработувањето на младите луѓе (АВРМ, видете Исход 3.2);</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2.1.2. </w:t>
            </w:r>
            <w:r w:rsidRPr="00BF7955">
              <w:rPr>
                <w:rFonts w:ascii="StobiSerif Regular" w:hAnsi="StobiSerif Regular" w:cs="StobiSerif Regular"/>
                <w:sz w:val="22"/>
                <w:szCs w:val="22"/>
                <w:lang w:val="mk-MK"/>
              </w:rPr>
              <w:t xml:space="preserve">Системот на даночни олеснувања (член 98 на </w:t>
            </w:r>
            <w:r w:rsidRPr="00BF7955">
              <w:rPr>
                <w:rFonts w:ascii="StobiSerif Regular" w:hAnsi="StobiSerif Regular" w:cs="StobiSerif Regular"/>
                <w:i/>
                <w:iCs/>
                <w:sz w:val="22"/>
                <w:szCs w:val="22"/>
                <w:lang w:val="mk-MK"/>
              </w:rPr>
              <w:t>Законот за вработување и осигурување во случај на невработеност</w:t>
            </w:r>
            <w:r w:rsidRPr="00BF7955">
              <w:rPr>
                <w:rFonts w:ascii="StobiSerif Regular" w:hAnsi="StobiSerif Regular" w:cs="StobiSerif Regular"/>
                <w:sz w:val="22"/>
                <w:szCs w:val="22"/>
                <w:lang w:val="mk-MK"/>
              </w:rPr>
              <w:t xml:space="preserve">) продолжува да се применува по 2016 година за претпријатијата што вработуваат млади работници(МФ, 2.040.000 евра);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2.1.3. </w:t>
            </w:r>
            <w:r w:rsidRPr="00BF7955">
              <w:rPr>
                <w:rFonts w:ascii="StobiSerif Regular" w:hAnsi="StobiSerif Regular" w:cs="StobiSerif Regular"/>
                <w:sz w:val="22"/>
                <w:szCs w:val="22"/>
                <w:lang w:val="mk-MK"/>
              </w:rPr>
              <w:t>Пристапот до кредитниот систем што е достапен преку Македонската банка за поддршка на развојот е надополнет од проширена низа од услуги за развој на деловното работење (шеми за ваучери) што се достапни преку локалните структури на Агенција за поддршка на претприемништвото, во координација на Министерството за економија (АППРМ, 900.000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2.1.4. </w:t>
            </w:r>
            <w:r w:rsidRPr="00BF7955">
              <w:rPr>
                <w:rFonts w:ascii="StobiSerif Regular" w:hAnsi="StobiSerif Regular" w:cs="StobiSerif Regular"/>
                <w:sz w:val="22"/>
                <w:szCs w:val="22"/>
                <w:lang w:val="mk-MK"/>
              </w:rPr>
              <w:t>Инструментите што се ставени на располагање преку Фондот за иновации и технолошки развој (ФИТР) придонесуваат за отворањето нови работни места и подобрувањето на капацитетот за иновации во земјата (една категорија од Светскиот индекс за конкурентност) (ФИТР, 9.400.000 евра).</w:t>
            </w:r>
          </w:p>
          <w:p w:rsidR="008A3D6C" w:rsidRPr="00BF7955" w:rsidRDefault="008A3D6C" w:rsidP="00BF7955">
            <w:pPr>
              <w:rPr>
                <w:rFonts w:ascii="StobiSerif Regular" w:hAnsi="StobiSerif Regular" w:cs="StobiSerif Regular"/>
                <w:lang w:val="mk-MK"/>
              </w:rPr>
            </w:pPr>
          </w:p>
        </w:tc>
        <w:tc>
          <w:tcPr>
            <w:tcW w:w="2687"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pStyle w:val="ListParagraph"/>
              <w:rPr>
                <w:rFonts w:ascii="StobiSerif Regular" w:hAnsi="StobiSerif Regular" w:cs="StobiSerif Regular"/>
                <w:lang w:val="mk-MK"/>
              </w:rPr>
            </w:pPr>
            <w:r w:rsidRPr="00BF7955">
              <w:rPr>
                <w:rFonts w:ascii="StobiSerif Regular" w:hAnsi="StobiSerif Regular" w:cs="StobiSerif Regular"/>
                <w:sz w:val="22"/>
                <w:szCs w:val="22"/>
                <w:lang w:val="mk-MK"/>
              </w:rPr>
              <w:t>Најмалку 20 проценти од лицата што се вработени преку програмата за јавни инвестиции што се финансира од страна на Владата се млади невработени лица на возраст до 29 години;</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color w:val="000000"/>
                <w:lang w:val="mk-MK"/>
              </w:rPr>
              <w:t xml:space="preserve">Најмалку 3.000 млади луѓе (2016) го користат (по 98 година) ослободувањето од обврската за плаќање придонеси за социјално осигурување што е предвидена во член 98 на </w:t>
            </w:r>
            <w:r w:rsidRPr="00BF7955">
              <w:rPr>
                <w:rFonts w:ascii="StobiSerif Regular" w:hAnsi="StobiSerif Regular" w:cs="StobiSerif Regular"/>
                <w:i/>
                <w:iCs/>
                <w:color w:val="000000"/>
                <w:lang w:val="mk-MK"/>
              </w:rPr>
              <w:t>Законот за вработување и осигурување во случај на невработеност;</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color w:val="000000"/>
                <w:lang w:val="mk-MK"/>
              </w:rPr>
              <w:t xml:space="preserve">Најмалку 10 проценти од претпријатијата добиваат услуги за развој на деловното работење што се координираат од страна на Министерството за економија преку локалната мрежа на Агенцијата за развој на претприемништвото и имаат пристап до кредитната линија на Македонската банка за поддршка на развојот; </w:t>
            </w:r>
          </w:p>
          <w:p w:rsidR="008A3D6C" w:rsidRPr="00BF7955" w:rsidRDefault="008A3D6C" w:rsidP="00BF7955">
            <w:pPr>
              <w:pStyle w:val="Paragrafoelenco1"/>
              <w:rPr>
                <w:rFonts w:ascii="StobiSerif Regular" w:hAnsi="StobiSerif Regular" w:cs="StobiSerif Regular"/>
                <w:color w:val="000000"/>
                <w:lang w:val="mk-MK"/>
              </w:rPr>
            </w:pPr>
          </w:p>
          <w:p w:rsidR="008A3D6C" w:rsidRPr="00BF7955" w:rsidRDefault="008A3D6C" w:rsidP="00BF7955">
            <w:pPr>
              <w:pStyle w:val="Paragrafoelenco1"/>
              <w:rPr>
                <w:rFonts w:ascii="StobiSerif Regular" w:hAnsi="StobiSerif Regular" w:cs="StobiSerif Regular"/>
                <w:color w:val="000000"/>
                <w:lang w:val="mk-MK"/>
              </w:rPr>
            </w:pP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color w:val="000000"/>
                <w:lang w:val="mk-MK"/>
              </w:rPr>
              <w:t>Најмалку 20 проценти од работните места што се отворени преку финансиските инструменти што се ставени на располагање од страна на Македонската банка за поддршка на развојот и Фондот за иновации и технолошки развој се наменети за младите работници (на возраст до 29 години);</w:t>
            </w:r>
          </w:p>
          <w:p w:rsidR="008A3D6C" w:rsidRPr="00BF7955" w:rsidRDefault="008A3D6C" w:rsidP="00BF7955">
            <w:pPr>
              <w:pStyle w:val="Paragrafoelenco1"/>
              <w:rPr>
                <w:rFonts w:ascii="StobiSerif Regular" w:hAnsi="StobiSerif Regular" w:cs="StobiSerif Regular"/>
                <w:color w:val="000000"/>
                <w:lang w:val="mk-MK"/>
              </w:rPr>
            </w:pPr>
            <w:r w:rsidRPr="00BF7955">
              <w:rPr>
                <w:rFonts w:ascii="StobiSerif Regular" w:hAnsi="StobiSerif Regular" w:cs="StobiSerif Regular"/>
                <w:color w:val="000000"/>
                <w:lang w:val="mk-MK"/>
              </w:rPr>
              <w:t>Подобрувањето на позицијата на Македонија на Светскиот индекс на конкурентноста, и особено во категоријата на индексот за достапноста на финансиските услуги; леснотија на пристапот до заеми; достапност на најновата технологија; технолошка апсорпција на ниво на друштва и капацитетот за иновации.</w:t>
            </w:r>
            <w:r w:rsidRPr="00BF7955">
              <w:rPr>
                <w:rFonts w:ascii="StobiSerif Regular" w:hAnsi="StobiSerif Regular" w:cs="StobiSerif Regular"/>
                <w:lang w:val="mk-MK" w:eastAsia="en-GB"/>
              </w:rPr>
              <w:t xml:space="preserve"> </w:t>
            </w:r>
          </w:p>
          <w:p w:rsidR="008A3D6C" w:rsidRPr="00BF7955" w:rsidRDefault="008A3D6C" w:rsidP="00BF7955">
            <w:pPr>
              <w:pStyle w:val="Paragrafoelenco1"/>
              <w:rPr>
                <w:rFonts w:ascii="StobiSerif Regular" w:hAnsi="StobiSerif Regular" w:cs="StobiSerif Regular"/>
                <w:lang w:val="mk-MK"/>
              </w:rPr>
            </w:pPr>
          </w:p>
        </w:tc>
        <w:tc>
          <w:tcPr>
            <w:tcW w:w="1470"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МЕ</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МФ</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АВРМ</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АППРМ</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ФИТР</w:t>
            </w:r>
          </w:p>
        </w:tc>
        <w:tc>
          <w:tcPr>
            <w:tcW w:w="1225"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€9.400.000</w:t>
            </w:r>
          </w:p>
        </w:tc>
        <w:tc>
          <w:tcPr>
            <w:tcW w:w="1590"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€2.940.000</w:t>
            </w:r>
          </w:p>
        </w:tc>
        <w:tc>
          <w:tcPr>
            <w:tcW w:w="1024"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2016</w:t>
            </w:r>
          </w:p>
        </w:tc>
        <w:tc>
          <w:tcPr>
            <w:tcW w:w="923"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2020</w:t>
            </w:r>
          </w:p>
        </w:tc>
      </w:tr>
    </w:tbl>
    <w:p w:rsidR="008A3D6C" w:rsidRPr="00BF7955" w:rsidRDefault="008A3D6C" w:rsidP="00E354A2">
      <w:pPr>
        <w:rPr>
          <w:rFonts w:ascii="StobiSerif Regular" w:hAnsi="StobiSerif Regular" w:cs="StobiSerif Regular"/>
          <w:sz w:val="22"/>
          <w:szCs w:val="22"/>
          <w:lang w:val="mk-MK"/>
        </w:rPr>
      </w:pPr>
    </w:p>
    <w:p w:rsidR="008A3D6C" w:rsidRPr="00BF7955" w:rsidRDefault="008A3D6C" w:rsidP="00E354A2">
      <w:pPr>
        <w:rPr>
          <w:rFonts w:ascii="StobiSerif Regular" w:hAnsi="StobiSerif Regular" w:cs="StobiSerif Regular"/>
          <w:sz w:val="22"/>
          <w:szCs w:val="22"/>
          <w:lang w:val="mk-MK"/>
        </w:rPr>
      </w:pPr>
      <w:r w:rsidRPr="00BF7955">
        <w:rPr>
          <w:rFonts w:ascii="StobiSerif Regular" w:hAnsi="StobiSerif Regular" w:cs="StobiSerif Regular"/>
          <w:sz w:val="22"/>
          <w:szCs w:val="22"/>
          <w:lang w:val="mk-MK"/>
        </w:rPr>
        <w:br w:type="page"/>
      </w:r>
    </w:p>
    <w:p w:rsidR="008A3D6C" w:rsidRPr="00BF7955" w:rsidRDefault="008A3D6C" w:rsidP="00E354A2">
      <w:pPr>
        <w:rPr>
          <w:rFonts w:ascii="StobiSerif Regular" w:hAnsi="StobiSerif Regular" w:cs="StobiSerif Regular"/>
          <w:sz w:val="22"/>
          <w:szCs w:val="22"/>
          <w:lang w:val="mk-MK"/>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886"/>
        <w:gridCol w:w="2282"/>
        <w:gridCol w:w="1695"/>
        <w:gridCol w:w="1567"/>
        <w:gridCol w:w="1792"/>
        <w:gridCol w:w="1167"/>
        <w:gridCol w:w="787"/>
      </w:tblGrid>
      <w:tr w:rsidR="008A3D6C" w:rsidRPr="00BF7955">
        <w:trPr>
          <w:jc w:val="center"/>
        </w:trPr>
        <w:tc>
          <w:tcPr>
            <w:tcW w:w="13669" w:type="dxa"/>
            <w:gridSpan w:val="7"/>
            <w:tcBorders>
              <w:top w:val="single" w:sz="12" w:space="0" w:color="4F81BD"/>
              <w:left w:val="single" w:sz="12" w:space="0" w:color="4F81BD"/>
              <w:bottom w:val="single" w:sz="12" w:space="0" w:color="4F81BD"/>
              <w:right w:val="single" w:sz="12" w:space="0" w:color="4F81BD"/>
            </w:tcBorders>
            <w:shd w:val="clear" w:color="auto" w:fill="B8CCE4"/>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Цел:</w:t>
            </w:r>
            <w:r w:rsidRPr="00BF7955">
              <w:rPr>
                <w:rFonts w:ascii="StobiSerif Regular" w:hAnsi="StobiSerif Regular" w:cs="StobiSerif Regular"/>
                <w:b/>
                <w:bCs/>
                <w:sz w:val="22"/>
                <w:szCs w:val="22"/>
                <w:lang w:val="mk-MK"/>
              </w:rPr>
              <w:tab/>
            </w:r>
            <w:r w:rsidRPr="00BF7955">
              <w:rPr>
                <w:rFonts w:ascii="StobiSerif Regular" w:hAnsi="StobiSerif Regular" w:cs="StobiSerif Regular"/>
                <w:b/>
                <w:bCs/>
                <w:sz w:val="22"/>
                <w:szCs w:val="22"/>
                <w:lang w:val="mk-MK"/>
              </w:rPr>
              <w:tab/>
              <w:t xml:space="preserve">Олеснување на преминот на младите лица во светот на работата </w:t>
            </w:r>
          </w:p>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Зацртана цел</w:t>
            </w:r>
            <w:r w:rsidRPr="00BF7955">
              <w:rPr>
                <w:rFonts w:ascii="StobiSerif Regular" w:hAnsi="StobiSerif Regular" w:cs="StobiSerif Regular"/>
                <w:b/>
                <w:bCs/>
                <w:sz w:val="22"/>
                <w:szCs w:val="22"/>
                <w:lang w:val="mk-MK"/>
              </w:rPr>
              <w:tab/>
              <w:t xml:space="preserve"> </w:t>
            </w:r>
            <w:r w:rsidRPr="00BF7955">
              <w:rPr>
                <w:rFonts w:ascii="StobiSerif Regular" w:hAnsi="StobiSerif Regular" w:cs="StobiSerif Regular"/>
                <w:b/>
                <w:bCs/>
                <w:sz w:val="22"/>
                <w:szCs w:val="22"/>
                <w:lang w:val="mk-MK"/>
              </w:rPr>
              <w:tab/>
              <w:t xml:space="preserve">зголемување од 30 проценти на бројот на младите невработени лица што имаат пристап до квалитетни услуги за вработување во локалните центри за вработување; </w:t>
            </w:r>
          </w:p>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ab/>
              <w:t xml:space="preserve">15 проценти од сите млади лица што првпат се пријавуваат како невработени добиваат пристап кон наменски услуги. </w:t>
            </w:r>
          </w:p>
        </w:tc>
      </w:tr>
      <w:tr w:rsidR="008A3D6C" w:rsidRPr="00BF7955">
        <w:trPr>
          <w:jc w:val="center"/>
        </w:trPr>
        <w:tc>
          <w:tcPr>
            <w:tcW w:w="4750"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ИСХОДИ И АУТПУТИ</w:t>
            </w:r>
          </w:p>
        </w:tc>
        <w:tc>
          <w:tcPr>
            <w:tcW w:w="2687"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ПОКАЗАТЕЛИ</w:t>
            </w:r>
          </w:p>
          <w:p w:rsidR="008A3D6C" w:rsidRPr="00BF7955" w:rsidRDefault="008A3D6C" w:rsidP="00BF7955">
            <w:pPr>
              <w:rPr>
                <w:rFonts w:ascii="StobiSerif Regular" w:hAnsi="StobiSerif Regular" w:cs="StobiSerif Regular"/>
                <w:lang w:val="mk-MK"/>
              </w:rPr>
            </w:pPr>
          </w:p>
        </w:tc>
        <w:tc>
          <w:tcPr>
            <w:tcW w:w="1470" w:type="dxa"/>
            <w:vMerge w:val="restart"/>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ОДГОВОРНА ЕДИНИЦА</w:t>
            </w:r>
          </w:p>
        </w:tc>
        <w:tc>
          <w:tcPr>
            <w:tcW w:w="2815" w:type="dxa"/>
            <w:gridSpan w:val="2"/>
            <w:tcBorders>
              <w:top w:val="single" w:sz="12" w:space="0" w:color="4F81BD"/>
              <w:left w:val="single" w:sz="12" w:space="0" w:color="4F81BD"/>
              <w:bottom w:val="single" w:sz="12" w:space="0" w:color="4F81BD"/>
              <w:right w:val="nil"/>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ФИНАНСИСКИ ИНПУТ</w:t>
            </w:r>
          </w:p>
        </w:tc>
        <w:tc>
          <w:tcPr>
            <w:tcW w:w="1947" w:type="dxa"/>
            <w:gridSpan w:val="2"/>
            <w:tcBorders>
              <w:top w:val="single" w:sz="12" w:space="0" w:color="4F81BD"/>
              <w:left w:val="nil"/>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b/>
                <w:bCs/>
                <w:sz w:val="22"/>
                <w:szCs w:val="22"/>
                <w:lang w:val="mk-MK"/>
              </w:rPr>
              <w:t>ВРЕМЕНСКА РАМКА</w:t>
            </w:r>
          </w:p>
        </w:tc>
      </w:tr>
      <w:tr w:rsidR="008A3D6C" w:rsidRPr="00BF7955">
        <w:trPr>
          <w:jc w:val="center"/>
        </w:trPr>
        <w:tc>
          <w:tcPr>
            <w:tcW w:w="4750"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i/>
                <w:iCs/>
                <w:lang w:val="mk-MK"/>
              </w:rPr>
            </w:pPr>
          </w:p>
        </w:tc>
        <w:tc>
          <w:tcPr>
            <w:tcW w:w="2687"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lang w:val="mk-MK"/>
              </w:rPr>
            </w:pPr>
          </w:p>
        </w:tc>
        <w:tc>
          <w:tcPr>
            <w:tcW w:w="1470" w:type="dxa"/>
            <w:vMerge/>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p>
        </w:tc>
        <w:tc>
          <w:tcPr>
            <w:tcW w:w="1225"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Обезбедени</w:t>
            </w:r>
            <w:r w:rsidRPr="00BF7955" w:rsidDel="00101A46">
              <w:rPr>
                <w:rFonts w:ascii="StobiSerif Regular" w:hAnsi="StobiSerif Regular" w:cs="StobiSerif Regular"/>
                <w:b/>
                <w:bCs/>
                <w:sz w:val="22"/>
                <w:szCs w:val="22"/>
                <w:lang w:val="mk-MK"/>
              </w:rPr>
              <w:t xml:space="preserve"> </w:t>
            </w:r>
          </w:p>
        </w:tc>
        <w:tc>
          <w:tcPr>
            <w:tcW w:w="1590"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 xml:space="preserve">Сè уште необезбедени </w:t>
            </w:r>
          </w:p>
        </w:tc>
        <w:tc>
          <w:tcPr>
            <w:tcW w:w="1024"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Почеток</w:t>
            </w:r>
          </w:p>
        </w:tc>
        <w:tc>
          <w:tcPr>
            <w:tcW w:w="923" w:type="dxa"/>
            <w:tcBorders>
              <w:top w:val="single" w:sz="12" w:space="0" w:color="4F81BD"/>
              <w:left w:val="single" w:sz="12" w:space="0" w:color="4F81BD"/>
              <w:bottom w:val="single" w:sz="12" w:space="0" w:color="4F81BD"/>
              <w:right w:val="single" w:sz="12" w:space="0" w:color="4F81BD"/>
            </w:tcBorders>
            <w:shd w:val="clear" w:color="auto" w:fill="DAEEF3"/>
            <w:vAlign w:val="center"/>
          </w:tcPr>
          <w:p w:rsidR="008A3D6C" w:rsidRPr="00BF7955" w:rsidRDefault="008A3D6C" w:rsidP="00BF7955">
            <w:pPr>
              <w:rPr>
                <w:rFonts w:ascii="StobiSerif Regular" w:hAnsi="StobiSerif Regular" w:cs="StobiSerif Regular"/>
                <w:b/>
                <w:bCs/>
                <w:lang w:val="mk-MK"/>
              </w:rPr>
            </w:pPr>
            <w:r w:rsidRPr="00BF7955">
              <w:rPr>
                <w:rFonts w:ascii="StobiSerif Regular" w:hAnsi="StobiSerif Regular" w:cs="StobiSerif Regular"/>
                <w:b/>
                <w:bCs/>
                <w:sz w:val="22"/>
                <w:szCs w:val="22"/>
                <w:lang w:val="mk-MK"/>
              </w:rPr>
              <w:t>Крај</w:t>
            </w:r>
          </w:p>
        </w:tc>
      </w:tr>
      <w:tr w:rsidR="008A3D6C" w:rsidRPr="00BF7955">
        <w:trPr>
          <w:jc w:val="center"/>
        </w:trPr>
        <w:tc>
          <w:tcPr>
            <w:tcW w:w="4750"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 xml:space="preserve">Исход 3.1 – Процесот на модернизација на Агенцијата за вработување на Република Македонија е забрзан </w:t>
            </w:r>
          </w:p>
          <w:p w:rsidR="008A3D6C" w:rsidRPr="00BF7955" w:rsidRDefault="008A3D6C" w:rsidP="00BF7955">
            <w:pPr>
              <w:pStyle w:val="Paragrafoelenco1"/>
              <w:rPr>
                <w:rFonts w:ascii="StobiSerif Regular" w:hAnsi="StobiSerif Regular" w:cs="StobiSerif Regular"/>
                <w:b/>
                <w:bCs/>
                <w:lang w:val="mk-MK"/>
              </w:rPr>
            </w:pPr>
          </w:p>
          <w:p w:rsidR="008A3D6C" w:rsidRPr="00BF7955" w:rsidRDefault="008A3D6C" w:rsidP="00BF7955">
            <w:pPr>
              <w:pStyle w:val="Paragrafoelenco1"/>
              <w:rPr>
                <w:rFonts w:ascii="StobiSerif Regular" w:hAnsi="StobiSerif Regular" w:cs="StobiSerif Regular"/>
                <w:b/>
                <w:bCs/>
                <w:lang w:val="mk-MK"/>
              </w:rPr>
            </w:pPr>
            <w:r w:rsidRPr="00BF7955">
              <w:rPr>
                <w:rFonts w:ascii="StobiSerif Regular" w:hAnsi="StobiSerif Regular" w:cs="StobiSerif Regular"/>
                <w:b/>
                <w:bCs/>
                <w:lang w:val="mk-MK"/>
              </w:rPr>
              <w:t>Почетна состојба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Во 2014 година соодносот меѓу персоналот за непосреден контакт на АВРМ и невработените лица беше 1:736.</w:t>
            </w:r>
          </w:p>
          <w:p w:rsidR="008A3D6C" w:rsidRPr="00BF7955" w:rsidRDefault="008A3D6C" w:rsidP="00E73238">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АВРМ има мрежа од 30 центри за вработување, при што сите од нив треба да се реновираат. Пакетот за помош од ЕУ ИПА предвидува реновирање на 12 центри за вработување.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Во моментов не постои план за вработување дополнителни човечки ресурси за АВРМ и не постои план за развој на човечките ресурси.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Во 2014 година приближно 7.225  млади невработени лица учествувале во АППТ (23,6%  од вкупниот број пријавени млади лица) и 9.400  млади лица биле корисници на индивидуализирани услуги за вработување (30%). </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Аутпути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3.1.1 </w:t>
            </w:r>
            <w:r w:rsidRPr="00BF7955">
              <w:rPr>
                <w:rFonts w:ascii="StobiSerif Regular" w:hAnsi="StobiSerif Regular" w:cs="StobiSerif Regular"/>
                <w:sz w:val="22"/>
                <w:szCs w:val="22"/>
                <w:lang w:val="mk-MK"/>
              </w:rPr>
              <w:t>Состојбата во центрите за вработување на АВРМ (инфраструктура, реновирање, човечки ресурси, ИКТ хардвер и софтвер, како и обезбедување услуги) е мапирана и резултатите од мапирањето се искористени за изготвување повеќегодишни планови за развој (АВРМ, без трошоци)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3.1.2 </w:t>
            </w:r>
            <w:r w:rsidRPr="00BF7955">
              <w:rPr>
                <w:rFonts w:ascii="StobiSerif Regular" w:hAnsi="StobiSerif Regular" w:cs="StobiSerif Regular"/>
                <w:sz w:val="22"/>
                <w:szCs w:val="22"/>
                <w:lang w:val="mk-MK"/>
              </w:rPr>
              <w:t>Повеќегодишен план за развој на инфраструктура/реновирање е одобрен и спроведен за подобрување на просториите на АВРМ и надградба на ИКТ платформата (АВРМ, 2.000.000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3.1.3 </w:t>
            </w:r>
            <w:r w:rsidRPr="00BF7955">
              <w:rPr>
                <w:rFonts w:ascii="StobiSerif Regular" w:hAnsi="StobiSerif Regular" w:cs="StobiSerif Regular"/>
                <w:sz w:val="22"/>
                <w:szCs w:val="22"/>
                <w:lang w:val="mk-MK"/>
              </w:rPr>
              <w:t xml:space="preserve">Се спроведуваат годишни планови за вработување и развој на човечки ресурси за професионализирање на обезбедувањето на услугите за вработување и осигурување квалитетно обезбедување на услугите (АВРМ, 1.000.000 евра);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3.1.4 </w:t>
            </w:r>
            <w:r w:rsidRPr="00BF7955">
              <w:rPr>
                <w:rFonts w:ascii="StobiSerif Regular" w:hAnsi="StobiSerif Regular" w:cs="StobiSerif Regular"/>
                <w:sz w:val="22"/>
                <w:szCs w:val="22"/>
                <w:lang w:val="mk-MK"/>
              </w:rPr>
              <w:t xml:space="preserve">Формулата за финансирање на центрите за вработување на АВРМ е ревидирана за да се осигури минимален обем на обезбедување услуги и програми низ целата земја (АВРМ, видете Исход 3,2). </w:t>
            </w:r>
          </w:p>
        </w:tc>
        <w:tc>
          <w:tcPr>
            <w:tcW w:w="2687"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Соодносот меѓу персоналот за непосреден контакт и невработените лица е намален на 1 : 300;</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Најмалку 80 проценти од просториите на центрите за вработување се реконструирани и реновирани во согласност со насоките за брендирање на АВРМ;</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30 проценти од сите млади невработени лица што се пријавени во секој центар за вработување имаат пристап до целиот опсег услуги за вработување на АВРМ;</w:t>
            </w:r>
          </w:p>
          <w:p w:rsidR="008A3D6C" w:rsidRPr="00BF7955" w:rsidRDefault="008A3D6C" w:rsidP="00BF7955">
            <w:pPr>
              <w:pStyle w:val="Paragrafoelenco1"/>
              <w:rPr>
                <w:rFonts w:ascii="StobiSerif Regular" w:hAnsi="StobiSerif Regular" w:cs="StobiSerif Regular"/>
                <w:lang w:val="mk-MK"/>
              </w:rPr>
            </w:pPr>
          </w:p>
        </w:tc>
        <w:tc>
          <w:tcPr>
            <w:tcW w:w="1470"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МТСП</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АВРМ</w:t>
            </w:r>
          </w:p>
        </w:tc>
        <w:tc>
          <w:tcPr>
            <w:tcW w:w="1225"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€1.200.000</w:t>
            </w:r>
          </w:p>
        </w:tc>
        <w:tc>
          <w:tcPr>
            <w:tcW w:w="1590"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€1.800.000</w:t>
            </w:r>
          </w:p>
        </w:tc>
        <w:tc>
          <w:tcPr>
            <w:tcW w:w="1024"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2016</w:t>
            </w:r>
          </w:p>
        </w:tc>
        <w:tc>
          <w:tcPr>
            <w:tcW w:w="923" w:type="dxa"/>
            <w:tcBorders>
              <w:top w:val="single" w:sz="12" w:space="0" w:color="4F81BD"/>
              <w:left w:val="single" w:sz="12" w:space="0" w:color="4F81BD"/>
              <w:bottom w:val="single" w:sz="8"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2020</w:t>
            </w:r>
          </w:p>
        </w:tc>
      </w:tr>
      <w:tr w:rsidR="008A3D6C" w:rsidRPr="00BF7955">
        <w:trPr>
          <w:jc w:val="center"/>
        </w:trPr>
        <w:tc>
          <w:tcPr>
            <w:tcW w:w="4750"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Исход 3.2 – Механизмите за спроведување и финансирање на активните политики на пазарот на трудот се приспособени за исполнување на потребите на младите невработени лица</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pStyle w:val="Paragrafoelenco1"/>
              <w:rPr>
                <w:rFonts w:ascii="StobiSerif Regular" w:hAnsi="StobiSerif Regular" w:cs="StobiSerif Regular"/>
                <w:b/>
                <w:bCs/>
                <w:i/>
                <w:iCs/>
                <w:lang w:val="mk-MK"/>
              </w:rPr>
            </w:pPr>
            <w:r w:rsidRPr="00BF7955">
              <w:rPr>
                <w:rFonts w:ascii="StobiSerif Regular" w:hAnsi="StobiSerif Regular" w:cs="StobiSerif Regular"/>
                <w:b/>
                <w:bCs/>
                <w:i/>
                <w:iCs/>
                <w:lang w:val="mk-MK"/>
              </w:rPr>
              <w:t>Почетна состојба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Систем за профилирање (врз основа на контролен список за можностите за вработување) ќе биде воведен на крајот на 2015 година.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Тековно само 0,15 од БДП се вложуваат во активните политики на пазарот на трудот, а приближно 30 проценти од овие средства се наменети за младите невработени лица.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АВРМ нуди две наменски услуги за младите невработени лица, обука за подготовка за вработување и програма за практикантство. Во 2014 година нивниот комбиниран опфат изнесувал 6,5 проценти од вкупниот број пријавени млади лица (15-29). Во 2014 година, 7.225 млади лица учествувале во АППТ (со поврат од 71 процент). Индивидуализираните услуги за вработување (мотивациска обука, кариерно советување и насочување, помош при барање работа) опфатиле 9.400 млади лица, од кои приближно 27,6 проценти биле вработени една година по добивањето на услугата. </w:t>
            </w:r>
          </w:p>
          <w:p w:rsidR="008A3D6C" w:rsidRPr="00BF7955" w:rsidRDefault="008A3D6C" w:rsidP="00BF7955">
            <w:pPr>
              <w:rPr>
                <w:rFonts w:ascii="StobiSerif Regular" w:hAnsi="StobiSerif Regular" w:cs="StobiSerif Regular"/>
                <w:b/>
                <w:bCs/>
                <w:i/>
                <w:iCs/>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Аутпути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3.2.1 </w:t>
            </w:r>
            <w:r w:rsidRPr="00BF7955">
              <w:rPr>
                <w:rFonts w:ascii="StobiSerif Regular" w:hAnsi="StobiSerif Regular" w:cs="StobiSerif Regular"/>
                <w:sz w:val="22"/>
                <w:szCs w:val="22"/>
                <w:lang w:val="mk-MK"/>
              </w:rPr>
              <w:t>Системот за профилирање што се заснова врз Контролниот список за можностите за вработување се користи во сите центри за вработување за сегментирање на младите клиенти за целите на приоретизирање на интервенциите (АВРМ, 300.000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3.2.2 </w:t>
            </w:r>
            <w:r w:rsidRPr="00BF7955">
              <w:rPr>
                <w:rFonts w:ascii="StobiSerif Regular" w:hAnsi="StobiSerif Regular" w:cs="StobiSerif Regular"/>
                <w:sz w:val="22"/>
                <w:szCs w:val="22"/>
                <w:lang w:val="mk-MK"/>
              </w:rPr>
              <w:t xml:space="preserve">Најмалку 40 проценти од годишниот буџет за АППТ се вложуваат во интервенции за олеснување на преминот на младите лица на пристојна работа (МТСП, 2.500.000 евра);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3.2.3 </w:t>
            </w:r>
            <w:r w:rsidRPr="00BF7955">
              <w:rPr>
                <w:rFonts w:ascii="StobiSerif Regular" w:hAnsi="StobiSerif Regular" w:cs="StobiSerif Regular"/>
                <w:sz w:val="22"/>
                <w:szCs w:val="22"/>
                <w:lang w:val="mk-MK"/>
              </w:rPr>
              <w:t>Дизајнот и целните групи на активните програми на пазарот на трудот се усогласени со резултатите на системот за предвидување вештини и им обезбедуваат на младите луѓе вештини и можности за вработување во економските сектори и занимањата што бележат раст (АВРМ, без трошоци);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3.2.4. </w:t>
            </w:r>
            <w:r w:rsidRPr="00BF7955">
              <w:rPr>
                <w:rFonts w:ascii="StobiSerif Regular" w:hAnsi="StobiSerif Regular" w:cs="StobiSerif Regular"/>
                <w:sz w:val="22"/>
                <w:szCs w:val="22"/>
                <w:lang w:val="mk-MK"/>
              </w:rPr>
              <w:t>АВРМ развива и спроведува линија наменски услуги за младите лица, што вклучуваат услуги за поддршка на лицата што го напуштиле училиштето, „ден на младите“ во најголемите центри за вработување, младински саеми за вработување, младински инфо-точки на популарните музички и спортски настани и пристап до програмата Старт за млади (АВРМ, 400.000 евра).</w:t>
            </w:r>
          </w:p>
          <w:p w:rsidR="008A3D6C" w:rsidRPr="00BF7955" w:rsidRDefault="008A3D6C" w:rsidP="00BF7955">
            <w:pPr>
              <w:rPr>
                <w:rFonts w:ascii="StobiSerif Regular" w:hAnsi="StobiSerif Regular" w:cs="StobiSerif Regular"/>
                <w:b/>
                <w:bCs/>
                <w:i/>
                <w:iCs/>
                <w:highlight w:val="yellow"/>
                <w:lang w:val="mk-MK"/>
              </w:rPr>
            </w:pPr>
            <w:r w:rsidRPr="00BF7955">
              <w:rPr>
                <w:rFonts w:ascii="StobiSerif Regular" w:hAnsi="StobiSerif Regular" w:cs="StobiSerif Regular"/>
                <w:i/>
                <w:iCs/>
                <w:sz w:val="22"/>
                <w:szCs w:val="22"/>
                <w:lang w:val="mk-MK"/>
              </w:rPr>
              <w:t xml:space="preserve">3.2.5. </w:t>
            </w:r>
            <w:r w:rsidRPr="00BF7955">
              <w:rPr>
                <w:rFonts w:ascii="StobiSerif Regular" w:hAnsi="StobiSerif Regular" w:cs="StobiSerif Regular"/>
                <w:sz w:val="22"/>
                <w:szCs w:val="22"/>
                <w:lang w:val="mk-MK"/>
              </w:rPr>
              <w:t xml:space="preserve">Програмата </w:t>
            </w:r>
            <w:r w:rsidRPr="00BF7955">
              <w:rPr>
                <w:rFonts w:ascii="StobiSerif Regular" w:hAnsi="StobiSerif Regular" w:cs="StobiSerif Regular"/>
                <w:i/>
                <w:iCs/>
                <w:sz w:val="22"/>
                <w:szCs w:val="22"/>
                <w:lang w:val="mk-MK"/>
              </w:rPr>
              <w:t>Старт за млади</w:t>
            </w:r>
            <w:r w:rsidRPr="00BF7955">
              <w:rPr>
                <w:rFonts w:ascii="StobiSerif Regular" w:hAnsi="StobiSerif Regular" w:cs="StobiSerif Regular"/>
                <w:sz w:val="22"/>
                <w:szCs w:val="22"/>
                <w:lang w:val="mk-MK"/>
              </w:rPr>
              <w:t xml:space="preserve"> (обука за подготовка за вработување, субвенционирана обука на работното место и практикантство) за лицата што првпат влегуваат на пазарот на трудот станува дел од портфолиото на активни програми на пазарот на трудот што им се достапни на младите невработени лица (АВРМ, 750.000 евра).</w:t>
            </w:r>
            <w:r w:rsidRPr="00BF7955">
              <w:rPr>
                <w:rFonts w:ascii="StobiSerif Regular" w:hAnsi="StobiSerif Regular" w:cs="StobiSerif Regular"/>
                <w:b/>
                <w:bCs/>
                <w:i/>
                <w:iCs/>
                <w:sz w:val="22"/>
                <w:szCs w:val="22"/>
                <w:highlight w:val="yellow"/>
                <w:lang w:val="mk-MK"/>
              </w:rPr>
              <w:t xml:space="preserve"> </w:t>
            </w:r>
          </w:p>
        </w:tc>
        <w:tc>
          <w:tcPr>
            <w:tcW w:w="2687"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70 проценти од младите лица што првпат се пријавуваат во АВРМ се профилирани рано (во текот на првите 6 месеци од периодот на невработеност);</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40 проценти од сите јавни средства што се наменети за АППТ се вложуваат во интервенции поврзани со преминот од училиште на работа;</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 xml:space="preserve">15 проценти од сите новопријавени млади баратели на работа имаат пристап до наменски услуги и до програмата </w:t>
            </w:r>
            <w:r w:rsidRPr="00BF7955">
              <w:rPr>
                <w:rFonts w:ascii="StobiSerif Regular" w:hAnsi="StobiSerif Regular" w:cs="StobiSerif Regular"/>
                <w:i/>
                <w:iCs/>
                <w:lang w:val="mk-MK"/>
              </w:rPr>
              <w:t>Старт за млади</w:t>
            </w:r>
            <w:r w:rsidRPr="00BF7955">
              <w:rPr>
                <w:rFonts w:ascii="StobiSerif Regular" w:hAnsi="StobiSerif Regular" w:cs="StobiSerif Regular"/>
                <w:lang w:val="mk-MK"/>
              </w:rPr>
              <w:t>;</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75 проценти од младите невработени лица учествуваат во програми и 40 проценти од младите лица што добиваат услуги за вработување се вработени една година по третманот.</w:t>
            </w:r>
          </w:p>
          <w:p w:rsidR="008A3D6C" w:rsidRPr="00BF7955" w:rsidRDefault="008A3D6C" w:rsidP="00BF7955">
            <w:pPr>
              <w:pStyle w:val="Paragrafoelenco1"/>
              <w:rPr>
                <w:rFonts w:ascii="StobiSerif Regular" w:hAnsi="StobiSerif Regular" w:cs="StobiSerif Regular"/>
                <w:lang w:val="mk-MK"/>
              </w:rPr>
            </w:pPr>
          </w:p>
        </w:tc>
        <w:tc>
          <w:tcPr>
            <w:tcW w:w="1470"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МТСП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АВРМ</w:t>
            </w:r>
          </w:p>
        </w:tc>
        <w:tc>
          <w:tcPr>
            <w:tcW w:w="1225"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p>
        </w:tc>
        <w:tc>
          <w:tcPr>
            <w:tcW w:w="1590"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3.950.000</w:t>
            </w:r>
          </w:p>
        </w:tc>
        <w:tc>
          <w:tcPr>
            <w:tcW w:w="1024"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2016</w:t>
            </w:r>
          </w:p>
        </w:tc>
        <w:tc>
          <w:tcPr>
            <w:tcW w:w="923"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2020</w:t>
            </w:r>
          </w:p>
        </w:tc>
      </w:tr>
      <w:tr w:rsidR="008A3D6C" w:rsidRPr="00BF7955">
        <w:trPr>
          <w:jc w:val="center"/>
        </w:trPr>
        <w:tc>
          <w:tcPr>
            <w:tcW w:w="4750"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Исход 3.3 – АВРМ нуди квалитетни услуги за работодавачите и на младите лица им обезбедува веродостоен преглед на слободните работни места</w:t>
            </w: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Почетна состојба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Во 2014 година бројот на слободните работни места што ги објавувала АВРМ просечно изнесувал 5.000 во кое било време, додека бројот на слободните работни места што биле утврдени од Државниот завод за статистика изнесувал просечно 6.500 на тримесечно ниво.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Во 2014 година АВРМ примила над 4.400 барања за посредување при вработување, од кои што 65 проценти биле реализирани. </w:t>
            </w:r>
          </w:p>
          <w:p w:rsidR="008A3D6C" w:rsidRPr="00BF7955" w:rsidRDefault="008A3D6C" w:rsidP="00BF7955">
            <w:pPr>
              <w:rPr>
                <w:rFonts w:ascii="StobiSerif Regular" w:hAnsi="StobiSerif Regular" w:cs="StobiSerif Regular"/>
                <w:lang w:val="mk-MK"/>
              </w:rPr>
            </w:pPr>
          </w:p>
          <w:p w:rsidR="008A3D6C" w:rsidRPr="00BF7955" w:rsidRDefault="008A3D6C" w:rsidP="00BF7955">
            <w:pPr>
              <w:rPr>
                <w:rFonts w:ascii="StobiSerif Regular" w:hAnsi="StobiSerif Regular" w:cs="StobiSerif Regular"/>
                <w:b/>
                <w:bCs/>
                <w:i/>
                <w:iCs/>
                <w:lang w:val="mk-MK"/>
              </w:rPr>
            </w:pPr>
            <w:r w:rsidRPr="00BF7955">
              <w:rPr>
                <w:rFonts w:ascii="StobiSerif Regular" w:hAnsi="StobiSerif Regular" w:cs="StobiSerif Regular"/>
                <w:b/>
                <w:bCs/>
                <w:i/>
                <w:iCs/>
                <w:sz w:val="22"/>
                <w:szCs w:val="22"/>
                <w:lang w:val="mk-MK"/>
              </w:rPr>
              <w:t>Аутпути</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3.3.1.</w:t>
            </w:r>
            <w:r w:rsidRPr="00BF7955">
              <w:rPr>
                <w:rFonts w:ascii="StobiSerif Regular" w:hAnsi="StobiSerif Regular" w:cs="StobiSerif Regular"/>
                <w:sz w:val="22"/>
                <w:szCs w:val="22"/>
                <w:lang w:val="mk-MK"/>
              </w:rPr>
              <w:t>Работодавачите се мапирани од страна на центрите за вработување и им се нудат услуги за анализа на работните места и задачи и развој на човечките ресурси од страна на квалификуван персонал (АВРМ, 250.000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3.3.2. </w:t>
            </w:r>
            <w:r w:rsidRPr="00BF7955">
              <w:rPr>
                <w:rFonts w:ascii="StobiSerif Regular" w:hAnsi="StobiSerif Regular" w:cs="StobiSerif Regular"/>
                <w:sz w:val="22"/>
                <w:szCs w:val="22"/>
                <w:lang w:val="mk-MK"/>
              </w:rPr>
              <w:t>Пристапот кон собирањето и објавувањето на слободните работни места е приспособен за целите на обезбедувањето реалистични информации на младите невработени лица и обезбедувањето веродостојни податоци за хранење на системот за предвидување вештини (АВРМ, 100.000 евра);</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i/>
                <w:iCs/>
                <w:sz w:val="22"/>
                <w:szCs w:val="22"/>
                <w:lang w:val="mk-MK"/>
              </w:rPr>
              <w:t xml:space="preserve">3.3.3. </w:t>
            </w:r>
            <w:r w:rsidRPr="00BF7955">
              <w:rPr>
                <w:rFonts w:ascii="StobiSerif Regular" w:hAnsi="StobiSerif Regular" w:cs="StobiSerif Regular"/>
                <w:sz w:val="22"/>
                <w:szCs w:val="22"/>
                <w:lang w:val="mk-MK"/>
              </w:rPr>
              <w:t xml:space="preserve">Службите за посредување при вработување се зајакнати и им помагаат на младите лица што за првпат бараат работа да најдат можности на пазарот на трудот (АВРМ, 250.000 евра). </w:t>
            </w:r>
          </w:p>
        </w:tc>
        <w:tc>
          <w:tcPr>
            <w:tcW w:w="2687"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Бројот и видот на слободните работни места што се евидентирани од страна на АВРМ се усогласени со слободните работни места што се идентификуваат преку Анкетата за слободни работни места (Државен завод за статистика);</w:t>
            </w:r>
          </w:p>
          <w:p w:rsidR="008A3D6C" w:rsidRPr="00BF7955" w:rsidRDefault="008A3D6C" w:rsidP="00BF7955">
            <w:pPr>
              <w:pStyle w:val="Paragrafoelenco1"/>
              <w:rPr>
                <w:rFonts w:ascii="StobiSerif Regular" w:hAnsi="StobiSerif Regular" w:cs="StobiSerif Regular"/>
                <w:lang w:val="mk-MK"/>
              </w:rPr>
            </w:pPr>
            <w:r w:rsidRPr="00BF7955">
              <w:rPr>
                <w:rFonts w:ascii="StobiSerif Regular" w:hAnsi="StobiSerif Regular" w:cs="StobiSerif Regular"/>
                <w:lang w:val="mk-MK"/>
              </w:rPr>
              <w:t>Услугите за посредување при вработување се користат од страна на 20 проценти од работодавачите што огласуваат слободни работни места.</w:t>
            </w:r>
          </w:p>
          <w:p w:rsidR="008A3D6C" w:rsidRPr="00BF7955" w:rsidRDefault="008A3D6C" w:rsidP="00BF7955">
            <w:pPr>
              <w:pStyle w:val="Paragrafoelenco1"/>
              <w:rPr>
                <w:rFonts w:ascii="StobiSerif Regular" w:hAnsi="StobiSerif Regular" w:cs="StobiSerif Regular"/>
                <w:lang w:val="mk-MK"/>
              </w:rPr>
            </w:pPr>
          </w:p>
        </w:tc>
        <w:tc>
          <w:tcPr>
            <w:tcW w:w="1470"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 xml:space="preserve">МТСП </w:t>
            </w:r>
          </w:p>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АВРМ</w:t>
            </w:r>
          </w:p>
        </w:tc>
        <w:tc>
          <w:tcPr>
            <w:tcW w:w="1225"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p>
        </w:tc>
        <w:tc>
          <w:tcPr>
            <w:tcW w:w="1590" w:type="dxa"/>
            <w:tcBorders>
              <w:top w:val="single" w:sz="12"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€600.000</w:t>
            </w:r>
          </w:p>
        </w:tc>
        <w:tc>
          <w:tcPr>
            <w:tcW w:w="1024"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2016</w:t>
            </w:r>
          </w:p>
        </w:tc>
        <w:tc>
          <w:tcPr>
            <w:tcW w:w="923" w:type="dxa"/>
            <w:tcBorders>
              <w:top w:val="single" w:sz="8" w:space="0" w:color="4F81BD"/>
              <w:left w:val="single" w:sz="12" w:space="0" w:color="4F81BD"/>
              <w:bottom w:val="single" w:sz="12" w:space="0" w:color="4F81BD"/>
              <w:right w:val="single" w:sz="12" w:space="0" w:color="4F81BD"/>
            </w:tcBorders>
          </w:tcPr>
          <w:p w:rsidR="008A3D6C" w:rsidRPr="00BF7955" w:rsidRDefault="008A3D6C" w:rsidP="00BF7955">
            <w:pPr>
              <w:rPr>
                <w:rFonts w:ascii="StobiSerif Regular" w:hAnsi="StobiSerif Regular" w:cs="StobiSerif Regular"/>
                <w:lang w:val="mk-MK"/>
              </w:rPr>
            </w:pPr>
            <w:r w:rsidRPr="00BF7955">
              <w:rPr>
                <w:rFonts w:ascii="StobiSerif Regular" w:hAnsi="StobiSerif Regular" w:cs="StobiSerif Regular"/>
                <w:sz w:val="22"/>
                <w:szCs w:val="22"/>
                <w:lang w:val="mk-MK"/>
              </w:rPr>
              <w:t>2020</w:t>
            </w:r>
          </w:p>
        </w:tc>
      </w:tr>
    </w:tbl>
    <w:p w:rsidR="008A3D6C" w:rsidRPr="00BF7955" w:rsidRDefault="008A3D6C" w:rsidP="00BF7955">
      <w:pPr>
        <w:rPr>
          <w:rFonts w:ascii="StobiSerif Regular" w:hAnsi="StobiSerif Regular" w:cs="StobiSerif Regular"/>
          <w:color w:val="000000"/>
          <w:sz w:val="22"/>
          <w:szCs w:val="22"/>
          <w:lang w:val="mk-MK"/>
        </w:rPr>
      </w:pPr>
    </w:p>
    <w:p w:rsidR="008A3D6C" w:rsidRPr="00BF7955" w:rsidRDefault="008A3D6C" w:rsidP="00E354A2">
      <w:pPr>
        <w:rPr>
          <w:rFonts w:ascii="StobiSerif Regular" w:hAnsi="StobiSerif Regular" w:cs="StobiSerif Regular"/>
          <w:color w:val="000000"/>
          <w:sz w:val="22"/>
          <w:szCs w:val="22"/>
          <w:lang w:val="mk-MK"/>
        </w:rPr>
        <w:sectPr w:rsidR="008A3D6C" w:rsidRPr="00BF7955" w:rsidSect="00EF0D9D">
          <w:pgSz w:w="15840" w:h="12240" w:orient="landscape"/>
          <w:pgMar w:top="1418" w:right="1440" w:bottom="1418" w:left="1440" w:header="709" w:footer="709" w:gutter="0"/>
          <w:cols w:space="708"/>
          <w:docGrid w:linePitch="360"/>
        </w:sectPr>
      </w:pPr>
    </w:p>
    <w:p w:rsidR="008A3D6C" w:rsidRPr="0029016F" w:rsidRDefault="008A3D6C" w:rsidP="0029016F">
      <w:pPr>
        <w:spacing w:after="200" w:line="276" w:lineRule="auto"/>
        <w:jc w:val="both"/>
        <w:rPr>
          <w:rFonts w:ascii="StobiSerif Regular" w:hAnsi="StobiSerif Regular" w:cs="StobiSerif Regular"/>
          <w:lang w:val="mk-MK"/>
        </w:rPr>
      </w:pPr>
      <w:r>
        <w:rPr>
          <w:rFonts w:ascii="StobiSerif Regular" w:hAnsi="StobiSerif Regular" w:cs="StobiSerif Regular"/>
          <w:lang w:val="mk-MK"/>
        </w:rPr>
        <w:t>Предлог Заклучоци:</w:t>
      </w:r>
    </w:p>
    <w:p w:rsidR="008A3D6C" w:rsidRPr="007B24AA" w:rsidRDefault="008A3D6C" w:rsidP="00150751">
      <w:pPr>
        <w:numPr>
          <w:ilvl w:val="0"/>
          <w:numId w:val="2"/>
        </w:numPr>
        <w:spacing w:after="200" w:line="276" w:lineRule="auto"/>
        <w:jc w:val="both"/>
        <w:rPr>
          <w:rFonts w:ascii="StobiSerif Regular" w:hAnsi="StobiSerif Regular" w:cs="StobiSerif Regular"/>
          <w:sz w:val="22"/>
          <w:szCs w:val="22"/>
          <w:lang w:val="mk-MK"/>
        </w:rPr>
      </w:pPr>
      <w:r w:rsidRPr="007B24AA">
        <w:rPr>
          <w:rFonts w:ascii="StobiSerif Regular" w:hAnsi="StobiSerif Regular" w:cs="StobiSerif Regular"/>
          <w:sz w:val="22"/>
          <w:szCs w:val="22"/>
          <w:lang w:val="mk-MK"/>
        </w:rPr>
        <w:t>Владата на Република Македонија да ја разгледа и усвои Информацијата со Акциски план за вработување млади  2016-2020 година.</w:t>
      </w:r>
    </w:p>
    <w:p w:rsidR="008A3D6C" w:rsidRPr="007B24AA" w:rsidRDefault="008A3D6C" w:rsidP="00150751">
      <w:pPr>
        <w:numPr>
          <w:ilvl w:val="0"/>
          <w:numId w:val="2"/>
        </w:numPr>
        <w:spacing w:after="200" w:line="276" w:lineRule="auto"/>
        <w:jc w:val="both"/>
        <w:rPr>
          <w:rFonts w:ascii="StobiSerif Regular" w:hAnsi="StobiSerif Regular" w:cs="StobiSerif Regular"/>
          <w:sz w:val="22"/>
          <w:szCs w:val="22"/>
          <w:lang w:val="mk-MK"/>
        </w:rPr>
      </w:pPr>
      <w:r w:rsidRPr="007B24AA">
        <w:rPr>
          <w:rFonts w:ascii="StobiSerif Regular" w:hAnsi="StobiSerif Regular" w:cs="StobiSerif Regular"/>
          <w:sz w:val="22"/>
          <w:szCs w:val="22"/>
          <w:lang w:val="mk-MK"/>
        </w:rPr>
        <w:t xml:space="preserve">Се задолжува </w:t>
      </w:r>
      <w:r w:rsidRPr="007B24AA">
        <w:rPr>
          <w:rFonts w:ascii="StobiSerif Regular" w:hAnsi="StobiSerif Regular" w:cs="StobiSerif Regular"/>
          <w:b/>
          <w:bCs/>
          <w:sz w:val="22"/>
          <w:szCs w:val="22"/>
          <w:lang w:val="mk-MK"/>
        </w:rPr>
        <w:t>Министерството за труд и социјална политика (МТСП)</w:t>
      </w:r>
      <w:r w:rsidRPr="007B24AA">
        <w:rPr>
          <w:rFonts w:ascii="StobiSerif Regular" w:hAnsi="StobiSerif Regular" w:cs="StobiSerif Regular"/>
          <w:sz w:val="22"/>
          <w:szCs w:val="22"/>
          <w:lang w:val="mk-MK"/>
        </w:rPr>
        <w:t xml:space="preserve">  во соработка со Меѓународната организација на трудот (МОТ) да  направат меѓупериодско оценување во 2018 година и 2) завршно оценување во 2020 година за влијанието и ефектите од имплементација на активности содржани во Акцискиот план за  вработување млади 2016-2020 година.</w:t>
      </w:r>
    </w:p>
    <w:p w:rsidR="008A3D6C" w:rsidRPr="0059078C" w:rsidRDefault="008A3D6C" w:rsidP="00150751">
      <w:pPr>
        <w:numPr>
          <w:ilvl w:val="0"/>
          <w:numId w:val="2"/>
        </w:numPr>
        <w:spacing w:after="200" w:line="276" w:lineRule="auto"/>
        <w:jc w:val="both"/>
        <w:rPr>
          <w:rFonts w:ascii="StobiSerif Regular" w:hAnsi="StobiSerif Regular" w:cs="StobiSerif Regular"/>
          <w:lang w:val="mk-MK"/>
        </w:rPr>
      </w:pPr>
      <w:r w:rsidRPr="005B57F6">
        <w:rPr>
          <w:rFonts w:ascii="StobiSerif Regular" w:hAnsi="StobiSerif Regular" w:cs="StobiSerif Regular"/>
          <w:lang w:val="mk-MK"/>
        </w:rPr>
        <w:t>Се задолжува</w:t>
      </w:r>
      <w:r>
        <w:rPr>
          <w:rFonts w:ascii="StobiSerif Regular" w:hAnsi="StobiSerif Regular" w:cs="StobiSerif Regular"/>
          <w:lang w:val="mk-MK"/>
        </w:rPr>
        <w:t xml:space="preserve"> </w:t>
      </w:r>
      <w:r w:rsidRPr="002B426C">
        <w:rPr>
          <w:rFonts w:ascii="StobiSerif Regular" w:hAnsi="StobiSerif Regular" w:cs="StobiSerif Regular"/>
          <w:b/>
          <w:bCs/>
          <w:sz w:val="22"/>
          <w:szCs w:val="22"/>
          <w:lang w:val="mk-MK"/>
        </w:rPr>
        <w:t>Министерството за образование и наука</w:t>
      </w:r>
      <w:r>
        <w:rPr>
          <w:rFonts w:ascii="StobiSerif Regular" w:hAnsi="StobiSerif Regular" w:cs="StobiSerif Regular"/>
          <w:b/>
          <w:bCs/>
          <w:sz w:val="22"/>
          <w:szCs w:val="22"/>
          <w:lang w:val="mk-MK"/>
        </w:rPr>
        <w:t xml:space="preserve"> (МОН)</w:t>
      </w:r>
      <w:r>
        <w:rPr>
          <w:rFonts w:ascii="StobiSerif Regular" w:hAnsi="StobiSerif Regular" w:cs="StobiSerif Regular"/>
          <w:sz w:val="22"/>
          <w:szCs w:val="22"/>
          <w:lang w:val="mk-MK"/>
        </w:rPr>
        <w:t xml:space="preserve"> на годишно ниво да ја информира Владата на Република Македонија и Министерството за труд и социјална политика за текот на реализација на следните активности:</w:t>
      </w:r>
    </w:p>
    <w:p w:rsidR="008A3D6C" w:rsidRPr="00B453BC" w:rsidRDefault="008A3D6C" w:rsidP="00150751">
      <w:pPr>
        <w:pStyle w:val="ListParagraph"/>
        <w:numPr>
          <w:ilvl w:val="1"/>
          <w:numId w:val="2"/>
        </w:numPr>
        <w:spacing w:before="120" w:after="120" w:line="280" w:lineRule="auto"/>
        <w:ind w:left="1134" w:hanging="425"/>
        <w:jc w:val="both"/>
        <w:rPr>
          <w:rFonts w:ascii="StobiSerif Regular" w:hAnsi="StobiSerif Regular" w:cs="StobiSerif Regular"/>
          <w:sz w:val="22"/>
          <w:szCs w:val="22"/>
        </w:rPr>
      </w:pPr>
      <w:r w:rsidRPr="00B453BC">
        <w:rPr>
          <w:rFonts w:ascii="StobiSerif Regular" w:hAnsi="StobiSerif Regular" w:cs="StobiSerif Regular"/>
          <w:sz w:val="22"/>
          <w:szCs w:val="22"/>
          <w:lang w:val="mk-MK"/>
        </w:rPr>
        <w:t>Напредувањето во воспоставувањето на Опсерваторијата на вештини, како и податоци за програмите за образование и учење на возрасните, поставувањето на дипломците на работни места и трошоците</w:t>
      </w:r>
      <w:r>
        <w:rPr>
          <w:rFonts w:ascii="StobiSerif Regular" w:hAnsi="StobiSerif Regular" w:cs="StobiSerif Regular"/>
          <w:sz w:val="22"/>
          <w:szCs w:val="22"/>
          <w:lang w:val="mk-MK"/>
        </w:rPr>
        <w:t xml:space="preserve"> на студиите (Исход 1.1.3 од АПВМ</w:t>
      </w:r>
      <w:r w:rsidRPr="00B453BC">
        <w:rPr>
          <w:rFonts w:ascii="StobiSerif Regular" w:hAnsi="StobiSerif Regular" w:cs="StobiSerif Regular"/>
          <w:sz w:val="22"/>
          <w:szCs w:val="22"/>
          <w:lang w:val="mk-MK"/>
        </w:rPr>
        <w:t>);</w:t>
      </w:r>
    </w:p>
    <w:p w:rsidR="008A3D6C" w:rsidRPr="00B453BC" w:rsidRDefault="008A3D6C" w:rsidP="0059078C">
      <w:pPr>
        <w:pStyle w:val="ListParagraph"/>
        <w:spacing w:before="120" w:after="120" w:line="280" w:lineRule="auto"/>
        <w:ind w:left="1134" w:hanging="425"/>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3.2 </w:t>
      </w:r>
      <w:r w:rsidRPr="00B453BC">
        <w:rPr>
          <w:rFonts w:ascii="StobiSerif Regular" w:hAnsi="StobiSerif Regular" w:cs="StobiSerif Regular"/>
          <w:sz w:val="22"/>
          <w:szCs w:val="22"/>
          <w:lang w:val="mk-MK"/>
        </w:rPr>
        <w:t>Бројот на програмите за образование и обука што се променети врз основа на информациите обезбедени од системот за предвиду</w:t>
      </w:r>
      <w:r>
        <w:rPr>
          <w:rFonts w:ascii="StobiSerif Regular" w:hAnsi="StobiSerif Regular" w:cs="StobiSerif Regular"/>
          <w:sz w:val="22"/>
          <w:szCs w:val="22"/>
          <w:lang w:val="mk-MK"/>
        </w:rPr>
        <w:t>вање вештини (Исход 1.2.1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АПВМ </w:t>
      </w:r>
      <w:r w:rsidRPr="00B453BC">
        <w:rPr>
          <w:rFonts w:ascii="StobiSerif Regular" w:hAnsi="StobiSerif Regular" w:cs="StobiSerif Regular"/>
          <w:sz w:val="22"/>
          <w:szCs w:val="22"/>
          <w:lang w:val="mk-MK"/>
        </w:rPr>
        <w:t>)</w:t>
      </w:r>
    </w:p>
    <w:p w:rsidR="008A3D6C" w:rsidRPr="0059078C" w:rsidRDefault="008A3D6C" w:rsidP="0059078C">
      <w:pPr>
        <w:tabs>
          <w:tab w:val="left" w:pos="993"/>
        </w:tabs>
        <w:spacing w:before="120" w:after="120" w:line="280" w:lineRule="auto"/>
        <w:ind w:left="1134" w:hanging="425"/>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3.3  </w:t>
      </w:r>
      <w:r w:rsidRPr="0059078C">
        <w:rPr>
          <w:rFonts w:ascii="StobiSerif Regular" w:hAnsi="StobiSerif Regular" w:cs="StobiSerif Regular"/>
          <w:sz w:val="22"/>
          <w:szCs w:val="22"/>
          <w:lang w:val="mk-MK"/>
        </w:rPr>
        <w:t>Бројот на доделените стипендии на ниво на средно и високо образование за предмети за кои што се предвидува дека ќе бидат дефицитарни на пазар</w:t>
      </w:r>
      <w:r>
        <w:rPr>
          <w:rFonts w:ascii="StobiSerif Regular" w:hAnsi="StobiSerif Regular" w:cs="StobiSerif Regular"/>
          <w:sz w:val="22"/>
          <w:szCs w:val="22"/>
          <w:lang w:val="mk-MK"/>
        </w:rPr>
        <w:t>от на трудот (Исход 1.2.3 од АПВМ</w:t>
      </w:r>
      <w:r w:rsidRPr="0059078C">
        <w:rPr>
          <w:rFonts w:ascii="StobiSerif Regular" w:hAnsi="StobiSerif Regular" w:cs="StobiSerif Regular"/>
          <w:sz w:val="22"/>
          <w:szCs w:val="22"/>
          <w:lang w:val="mk-MK"/>
        </w:rPr>
        <w:t>)</w:t>
      </w:r>
    </w:p>
    <w:p w:rsidR="008A3D6C" w:rsidRPr="00B453BC" w:rsidRDefault="008A3D6C" w:rsidP="00150751">
      <w:pPr>
        <w:pStyle w:val="ListParagraph"/>
        <w:numPr>
          <w:ilvl w:val="1"/>
          <w:numId w:val="1"/>
        </w:numPr>
        <w:spacing w:before="120" w:after="120" w:line="280" w:lineRule="auto"/>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 </w:t>
      </w:r>
      <w:r w:rsidRPr="00B453BC">
        <w:rPr>
          <w:rFonts w:ascii="StobiSerif Regular" w:hAnsi="StobiSerif Regular" w:cs="StobiSerif Regular"/>
          <w:sz w:val="22"/>
          <w:szCs w:val="22"/>
          <w:lang w:val="mk-MK"/>
        </w:rPr>
        <w:t>Резултатите на студиите за следење што се спроведени врз лицата што завршиле средно и високо</w:t>
      </w:r>
      <w:r>
        <w:rPr>
          <w:rFonts w:ascii="StobiSerif Regular" w:hAnsi="StobiSerif Regular" w:cs="StobiSerif Regular"/>
          <w:sz w:val="22"/>
          <w:szCs w:val="22"/>
          <w:lang w:val="mk-MK"/>
        </w:rPr>
        <w:t xml:space="preserve"> образование (Исход 1.2.4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АПВМ </w:t>
      </w:r>
      <w:r w:rsidRPr="00B453BC">
        <w:rPr>
          <w:rFonts w:ascii="StobiSerif Regular" w:hAnsi="StobiSerif Regular" w:cs="StobiSerif Regular"/>
          <w:sz w:val="22"/>
          <w:szCs w:val="22"/>
          <w:lang w:val="mk-MK"/>
        </w:rPr>
        <w:t>)</w:t>
      </w:r>
      <w:r w:rsidRPr="00B453BC">
        <w:rPr>
          <w:rFonts w:ascii="StobiSerif Regular" w:hAnsi="StobiSerif Regular" w:cs="StobiSerif Regular"/>
          <w:sz w:val="22"/>
          <w:szCs w:val="22"/>
        </w:rPr>
        <w:t xml:space="preserve"> </w:t>
      </w:r>
    </w:p>
    <w:p w:rsidR="008A3D6C" w:rsidRPr="00B453BC" w:rsidRDefault="008A3D6C" w:rsidP="0059078C">
      <w:pPr>
        <w:pStyle w:val="ListParagraph"/>
        <w:spacing w:before="120" w:after="120" w:line="280" w:lineRule="auto"/>
        <w:ind w:left="1134" w:hanging="414"/>
        <w:jc w:val="both"/>
        <w:rPr>
          <w:rFonts w:ascii="StobiSerif Regular" w:hAnsi="StobiSerif Regular" w:cs="StobiSerif Regular"/>
          <w:sz w:val="22"/>
          <w:szCs w:val="22"/>
        </w:rPr>
      </w:pPr>
      <w:r>
        <w:rPr>
          <w:rFonts w:ascii="StobiSerif Regular" w:hAnsi="StobiSerif Regular" w:cs="StobiSerif Regular"/>
          <w:sz w:val="22"/>
          <w:szCs w:val="22"/>
          <w:lang w:val="mk-MK"/>
        </w:rPr>
        <w:t>3.5</w:t>
      </w:r>
      <w:r w:rsidRPr="00B453BC">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 </w:t>
      </w:r>
      <w:r w:rsidRPr="00B453BC">
        <w:rPr>
          <w:rFonts w:ascii="StobiSerif Regular" w:hAnsi="StobiSerif Regular" w:cs="StobiSerif Regular"/>
          <w:sz w:val="22"/>
          <w:szCs w:val="22"/>
          <w:lang w:val="mk-MK"/>
        </w:rPr>
        <w:t xml:space="preserve">Бројот на идентификуваните ученици под ризик од прерано напуштање на образованието и бројот на ученици што добиваат индивидуализирана поддршка за да останат на училиште и да се стекнат со </w:t>
      </w:r>
      <w:r>
        <w:rPr>
          <w:rFonts w:ascii="StobiSerif Regular" w:hAnsi="StobiSerif Regular" w:cs="StobiSerif Regular"/>
          <w:sz w:val="22"/>
          <w:szCs w:val="22"/>
          <w:lang w:val="mk-MK"/>
        </w:rPr>
        <w:t>квалификации (Исход 1.2.5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АПВМ </w:t>
      </w:r>
      <w:r w:rsidRPr="00B453BC">
        <w:rPr>
          <w:rFonts w:ascii="StobiSerif Regular" w:hAnsi="StobiSerif Regular" w:cs="StobiSerif Regular"/>
          <w:sz w:val="22"/>
          <w:szCs w:val="22"/>
          <w:lang w:val="mk-MK"/>
        </w:rPr>
        <w:t>)</w:t>
      </w:r>
      <w:r w:rsidRPr="00B453BC">
        <w:rPr>
          <w:rFonts w:ascii="StobiSerif Regular" w:hAnsi="StobiSerif Regular" w:cs="StobiSerif Regular"/>
          <w:sz w:val="22"/>
          <w:szCs w:val="22"/>
        </w:rPr>
        <w:t xml:space="preserve"> </w:t>
      </w:r>
    </w:p>
    <w:p w:rsidR="008A3D6C" w:rsidRPr="0059078C" w:rsidRDefault="008A3D6C" w:rsidP="00150751">
      <w:pPr>
        <w:pStyle w:val="ListParagraph"/>
        <w:numPr>
          <w:ilvl w:val="1"/>
          <w:numId w:val="3"/>
        </w:numPr>
        <w:spacing w:before="120" w:after="120" w:line="280" w:lineRule="auto"/>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 </w:t>
      </w:r>
      <w:r w:rsidRPr="0059078C">
        <w:rPr>
          <w:rFonts w:ascii="StobiSerif Regular" w:hAnsi="StobiSerif Regular" w:cs="StobiSerif Regular"/>
          <w:sz w:val="22"/>
          <w:szCs w:val="22"/>
          <w:lang w:val="mk-MK"/>
        </w:rPr>
        <w:t xml:space="preserve">Бројот на младите лица без квалификации што ги искористиле ISCED </w:t>
      </w:r>
      <w:r>
        <w:rPr>
          <w:rFonts w:ascii="StobiSerif Regular" w:hAnsi="StobiSerif Regular" w:cs="StobiSerif Regular"/>
          <w:sz w:val="22"/>
          <w:szCs w:val="22"/>
          <w:lang w:val="mk-MK"/>
        </w:rPr>
        <w:t>3 програмите (Исход 1.2.6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АПВМ </w:t>
      </w:r>
      <w:r w:rsidRPr="0059078C">
        <w:rPr>
          <w:rFonts w:ascii="StobiSerif Regular" w:hAnsi="StobiSerif Regular" w:cs="StobiSerif Regular"/>
          <w:sz w:val="22"/>
          <w:szCs w:val="22"/>
          <w:lang w:val="mk-MK"/>
        </w:rPr>
        <w:t>)</w:t>
      </w:r>
      <w:r w:rsidRPr="0059078C">
        <w:rPr>
          <w:rFonts w:ascii="StobiSerif Regular" w:hAnsi="StobiSerif Regular" w:cs="StobiSerif Regular"/>
          <w:sz w:val="22"/>
          <w:szCs w:val="22"/>
        </w:rPr>
        <w:t xml:space="preserve"> </w:t>
      </w:r>
    </w:p>
    <w:p w:rsidR="008A3D6C" w:rsidRDefault="008A3D6C" w:rsidP="00150751">
      <w:pPr>
        <w:pStyle w:val="ListParagraph"/>
        <w:numPr>
          <w:ilvl w:val="1"/>
          <w:numId w:val="3"/>
        </w:numPr>
        <w:spacing w:before="120" w:after="120" w:line="280" w:lineRule="auto"/>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 </w:t>
      </w:r>
      <w:r w:rsidRPr="00B453BC">
        <w:rPr>
          <w:rFonts w:ascii="StobiSerif Regular" w:hAnsi="StobiSerif Regular" w:cs="StobiSerif Regular"/>
          <w:sz w:val="22"/>
          <w:szCs w:val="22"/>
          <w:lang w:val="mk-MK"/>
        </w:rPr>
        <w:t xml:space="preserve">Бројот на ученици и студенти што добиваат услуги за кариерно насочување (на крајот на задолжителното образование, во текот на средното образование и во високото </w:t>
      </w:r>
      <w:r>
        <w:rPr>
          <w:rFonts w:ascii="StobiSerif Regular" w:hAnsi="StobiSerif Regular" w:cs="StobiSerif Regular"/>
          <w:sz w:val="22"/>
          <w:szCs w:val="22"/>
          <w:lang w:val="mk-MK"/>
        </w:rPr>
        <w:t>образование) (Исход 1.3.1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АПВМ </w:t>
      </w:r>
      <w:r w:rsidRPr="00B453BC">
        <w:rPr>
          <w:rFonts w:ascii="StobiSerif Regular" w:hAnsi="StobiSerif Regular" w:cs="StobiSerif Regular"/>
          <w:sz w:val="22"/>
          <w:szCs w:val="22"/>
          <w:lang w:val="mk-MK"/>
        </w:rPr>
        <w:t>)</w:t>
      </w:r>
      <w:r w:rsidRPr="00B453BC">
        <w:rPr>
          <w:rFonts w:ascii="StobiSerif Regular" w:hAnsi="StobiSerif Regular" w:cs="StobiSerif Regular"/>
          <w:sz w:val="22"/>
          <w:szCs w:val="22"/>
        </w:rPr>
        <w:t xml:space="preserve"> </w:t>
      </w:r>
    </w:p>
    <w:p w:rsidR="008A3D6C" w:rsidRPr="00B70717" w:rsidRDefault="008A3D6C" w:rsidP="00150751">
      <w:pPr>
        <w:pStyle w:val="ListParagraph"/>
        <w:numPr>
          <w:ilvl w:val="1"/>
          <w:numId w:val="3"/>
        </w:numPr>
        <w:spacing w:before="120" w:after="120" w:line="280" w:lineRule="auto"/>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   </w:t>
      </w:r>
      <w:r w:rsidRPr="00B70717">
        <w:rPr>
          <w:rFonts w:ascii="StobiSerif Regular" w:hAnsi="StobiSerif Regular" w:cs="StobiSerif Regular"/>
          <w:sz w:val="22"/>
          <w:szCs w:val="22"/>
          <w:lang w:val="mk-MK"/>
        </w:rPr>
        <w:t>Резултатите што ги постигнале учениците од Македонија во меѓународните програми за оценување (PISA и TIMSS) и реформите што произлегуваат од постигнати</w:t>
      </w:r>
      <w:r>
        <w:rPr>
          <w:rFonts w:ascii="StobiSerif Regular" w:hAnsi="StobiSerif Regular" w:cs="StobiSerif Regular"/>
          <w:sz w:val="22"/>
          <w:szCs w:val="22"/>
          <w:lang w:val="mk-MK"/>
        </w:rPr>
        <w:t>те резултати (Исход 1.2.2 од АПВМ</w:t>
      </w:r>
      <w:r w:rsidRPr="00B70717">
        <w:rPr>
          <w:rFonts w:ascii="StobiSerif Regular" w:hAnsi="StobiSerif Regular" w:cs="StobiSerif Regular"/>
          <w:sz w:val="22"/>
          <w:szCs w:val="22"/>
          <w:lang w:val="mk-MK"/>
        </w:rPr>
        <w:t>)</w:t>
      </w:r>
    </w:p>
    <w:p w:rsidR="008A3D6C" w:rsidRPr="00B453BC" w:rsidRDefault="008A3D6C" w:rsidP="00B70717">
      <w:pPr>
        <w:pStyle w:val="ListParagraph"/>
        <w:spacing w:before="120" w:after="120" w:line="280" w:lineRule="auto"/>
        <w:ind w:left="1080"/>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 </w:t>
      </w:r>
    </w:p>
    <w:p w:rsidR="008A3D6C" w:rsidRPr="00AC69C1" w:rsidRDefault="008A3D6C" w:rsidP="00150751">
      <w:pPr>
        <w:numPr>
          <w:ilvl w:val="0"/>
          <w:numId w:val="2"/>
        </w:numPr>
        <w:spacing w:after="200" w:line="276" w:lineRule="auto"/>
        <w:jc w:val="both"/>
        <w:rPr>
          <w:rFonts w:ascii="StobiSerif Regular" w:hAnsi="StobiSerif Regular" w:cs="StobiSerif Regular"/>
          <w:lang w:val="mk-MK"/>
        </w:rPr>
      </w:pPr>
      <w:r>
        <w:rPr>
          <w:rFonts w:ascii="StobiSerif Regular" w:hAnsi="StobiSerif Regular" w:cs="StobiSerif Regular"/>
          <w:lang w:val="mk-MK"/>
        </w:rPr>
        <w:t xml:space="preserve">Се укажува на </w:t>
      </w:r>
      <w:r w:rsidRPr="002B426C">
        <w:rPr>
          <w:rFonts w:ascii="StobiSerif Regular" w:hAnsi="StobiSerif Regular" w:cs="StobiSerif Regular"/>
          <w:b/>
          <w:bCs/>
          <w:lang w:val="mk-MK"/>
        </w:rPr>
        <w:t>Агенцијата за вработување на Република Македонија</w:t>
      </w:r>
      <w:r>
        <w:rPr>
          <w:rFonts w:ascii="StobiSerif Regular" w:hAnsi="StobiSerif Regular" w:cs="StobiSerif Regular"/>
          <w:b/>
          <w:bCs/>
          <w:lang w:val="mk-MK"/>
        </w:rPr>
        <w:t xml:space="preserve"> (АВРМ)</w:t>
      </w:r>
      <w:r w:rsidRPr="00AC69C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на годишно ниво да ја информира Владата на Република Македонија и Министерството за труд и социјална политика за текот на реализација на следните активности:</w:t>
      </w:r>
    </w:p>
    <w:p w:rsidR="008A3D6C" w:rsidRPr="00B453BC" w:rsidRDefault="008A3D6C" w:rsidP="00150751">
      <w:pPr>
        <w:pStyle w:val="ListParagraph"/>
        <w:numPr>
          <w:ilvl w:val="1"/>
          <w:numId w:val="2"/>
        </w:numPr>
        <w:tabs>
          <w:tab w:val="left" w:pos="1134"/>
        </w:tabs>
        <w:spacing w:after="200" w:line="280" w:lineRule="auto"/>
        <w:ind w:left="1134" w:hanging="425"/>
        <w:jc w:val="both"/>
        <w:rPr>
          <w:rFonts w:ascii="StobiSerif Regular" w:hAnsi="StobiSerif Regular" w:cs="StobiSerif Regular"/>
        </w:rPr>
      </w:pPr>
      <w:r w:rsidRPr="00B453BC">
        <w:rPr>
          <w:rFonts w:ascii="StobiSerif Regular" w:hAnsi="StobiSerif Regular" w:cs="StobiSerif Regular"/>
          <w:lang w:val="mk-MK"/>
        </w:rPr>
        <w:t>Постигнатиот напредок во надградбата на базата на податоци за евидентирање на слободните работни места и бројот на младите клиенти што се информирани за работните места и занимањата за кои што постои најголема побарувачка на пазар</w:t>
      </w:r>
      <w:r>
        <w:rPr>
          <w:rFonts w:ascii="StobiSerif Regular" w:hAnsi="StobiSerif Regular" w:cs="StobiSerif Regular"/>
          <w:lang w:val="mk-MK"/>
        </w:rPr>
        <w:t xml:space="preserve">от на трудот (Исход 1.1.2 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B453BC" w:rsidRDefault="008A3D6C" w:rsidP="00150751">
      <w:pPr>
        <w:pStyle w:val="ListParagraph"/>
        <w:numPr>
          <w:ilvl w:val="1"/>
          <w:numId w:val="2"/>
        </w:numPr>
        <w:tabs>
          <w:tab w:val="left" w:pos="1134"/>
        </w:tabs>
        <w:spacing w:before="120" w:after="120" w:line="280" w:lineRule="auto"/>
        <w:ind w:left="1134" w:hanging="425"/>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Бројот на младите лица што добиваат ажурирани информации за пазарот на трудот - засновани врз системот за предвиду</w:t>
      </w:r>
      <w:r>
        <w:rPr>
          <w:rFonts w:ascii="StobiSerif Regular" w:hAnsi="StobiSerif Regular" w:cs="StobiSerif Regular"/>
          <w:lang w:val="mk-MK"/>
        </w:rPr>
        <w:t xml:space="preserve">вање вештини (Исход 1.3.2 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B453BC" w:rsidRDefault="008A3D6C" w:rsidP="00150751">
      <w:pPr>
        <w:pStyle w:val="ListParagraph"/>
        <w:numPr>
          <w:ilvl w:val="1"/>
          <w:numId w:val="2"/>
        </w:numPr>
        <w:tabs>
          <w:tab w:val="left" w:pos="1134"/>
        </w:tabs>
        <w:spacing w:after="200" w:line="280" w:lineRule="auto"/>
        <w:ind w:left="1134" w:hanging="425"/>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Бројот на млади лица што првпат се пријавуваат во АВРМ што добиваат услуги за кариерно насочување и советување за</w:t>
      </w:r>
      <w:r>
        <w:rPr>
          <w:rFonts w:ascii="StobiSerif Regular" w:hAnsi="StobiSerif Regular" w:cs="StobiSerif Regular"/>
          <w:lang w:val="mk-MK"/>
        </w:rPr>
        <w:t xml:space="preserve"> вработување (Исход 1.3.3 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AC69C1" w:rsidRDefault="008A3D6C" w:rsidP="00150751">
      <w:pPr>
        <w:pStyle w:val="ListParagraph"/>
        <w:numPr>
          <w:ilvl w:val="1"/>
          <w:numId w:val="2"/>
        </w:numPr>
        <w:tabs>
          <w:tab w:val="left" w:pos="1134"/>
        </w:tabs>
        <w:spacing w:before="120" w:after="120" w:line="280" w:lineRule="auto"/>
        <w:ind w:left="1134" w:hanging="425"/>
        <w:jc w:val="both"/>
        <w:rPr>
          <w:rFonts w:ascii="StobiSerif Regular" w:hAnsi="StobiSerif Regular" w:cs="StobiSerif Regular"/>
        </w:rPr>
      </w:pPr>
      <w:r>
        <w:rPr>
          <w:rFonts w:ascii="StobiSerif Regular" w:hAnsi="StobiSerif Regular" w:cs="StobiSerif Regular"/>
          <w:lang w:val="mk-MK"/>
        </w:rPr>
        <w:t xml:space="preserve"> </w:t>
      </w:r>
      <w:r w:rsidRPr="00AC69C1">
        <w:rPr>
          <w:rFonts w:ascii="StobiSerif Regular" w:hAnsi="StobiSerif Regular" w:cs="StobiSerif Regular"/>
          <w:lang w:val="mk-MK"/>
        </w:rPr>
        <w:t>Бројот на претпријатија вклучени во развојот на инфраструктурата што добиваат услуги за посредување, субвенции и програми за о</w:t>
      </w:r>
      <w:r>
        <w:rPr>
          <w:rFonts w:ascii="StobiSerif Regular" w:hAnsi="StobiSerif Regular" w:cs="StobiSerif Regular"/>
          <w:lang w:val="mk-MK"/>
        </w:rPr>
        <w:t xml:space="preserve">бука од АВРМ (Исход 2.1.1 од </w:t>
      </w:r>
      <w:r>
        <w:rPr>
          <w:rFonts w:ascii="StobiSerif Regular" w:hAnsi="StobiSerif Regular" w:cs="StobiSerif Regular"/>
          <w:sz w:val="22"/>
          <w:szCs w:val="22"/>
          <w:lang w:val="mk-MK"/>
        </w:rPr>
        <w:t>АПВМ</w:t>
      </w:r>
      <w:r w:rsidRPr="00AC69C1">
        <w:rPr>
          <w:rFonts w:ascii="StobiSerif Regular" w:hAnsi="StobiSerif Regular" w:cs="StobiSerif Regular"/>
          <w:lang w:val="mk-MK"/>
        </w:rPr>
        <w:t>)</w:t>
      </w:r>
      <w:r w:rsidRPr="00AC69C1">
        <w:rPr>
          <w:rFonts w:ascii="StobiSerif Regular" w:hAnsi="StobiSerif Regular" w:cs="StobiSerif Regular"/>
        </w:rPr>
        <w:t xml:space="preserve"> </w:t>
      </w:r>
    </w:p>
    <w:p w:rsidR="008A3D6C" w:rsidRPr="00AC69C1" w:rsidRDefault="008A3D6C" w:rsidP="00150751">
      <w:pPr>
        <w:pStyle w:val="ListParagraph"/>
        <w:numPr>
          <w:ilvl w:val="1"/>
          <w:numId w:val="2"/>
        </w:numPr>
        <w:tabs>
          <w:tab w:val="left" w:pos="1134"/>
        </w:tabs>
        <w:spacing w:before="120" w:after="120" w:line="280" w:lineRule="auto"/>
        <w:ind w:left="1134"/>
        <w:jc w:val="both"/>
        <w:rPr>
          <w:rFonts w:ascii="StobiSerif Regular" w:hAnsi="StobiSerif Regular" w:cs="StobiSerif Regular"/>
        </w:rPr>
      </w:pPr>
      <w:r>
        <w:rPr>
          <w:rFonts w:ascii="StobiSerif Regular" w:hAnsi="StobiSerif Regular" w:cs="StobiSerif Regular"/>
          <w:lang w:val="mk-MK"/>
        </w:rPr>
        <w:t xml:space="preserve"> </w:t>
      </w:r>
      <w:r w:rsidRPr="00AC69C1">
        <w:rPr>
          <w:rFonts w:ascii="StobiSerif Regular" w:hAnsi="StobiSerif Regular" w:cs="StobiSerif Regular"/>
          <w:lang w:val="mk-MK"/>
        </w:rPr>
        <w:t>Постигнатиот напредок во спроведувањето на планот за развој на инфраструктура/реновирање на центрите за вработување и надградбата на ИТ</w:t>
      </w:r>
      <w:r>
        <w:rPr>
          <w:rFonts w:ascii="StobiSerif Regular" w:hAnsi="StobiSerif Regular" w:cs="StobiSerif Regular"/>
          <w:lang w:val="mk-MK"/>
        </w:rPr>
        <w:t xml:space="preserve"> платформата (Исход 3.1.2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АПВМ</w:t>
      </w:r>
      <w:r>
        <w:rPr>
          <w:rFonts w:ascii="StobiSerif Regular" w:hAnsi="StobiSerif Regular" w:cs="StobiSerif Regular"/>
          <w:lang w:val="mk-MK"/>
        </w:rPr>
        <w:t xml:space="preserve"> </w:t>
      </w:r>
      <w:r w:rsidRPr="00AC69C1">
        <w:rPr>
          <w:rFonts w:ascii="StobiSerif Regular" w:hAnsi="StobiSerif Regular" w:cs="StobiSerif Regular"/>
          <w:lang w:val="mk-MK"/>
        </w:rPr>
        <w:t>)</w:t>
      </w:r>
    </w:p>
    <w:p w:rsidR="008A3D6C" w:rsidRPr="00B453BC" w:rsidRDefault="008A3D6C" w:rsidP="00150751">
      <w:pPr>
        <w:pStyle w:val="ListParagraph"/>
        <w:numPr>
          <w:ilvl w:val="1"/>
          <w:numId w:val="2"/>
        </w:numPr>
        <w:tabs>
          <w:tab w:val="left" w:pos="1134"/>
        </w:tabs>
        <w:spacing w:before="120" w:after="120" w:line="280" w:lineRule="auto"/>
        <w:ind w:left="1134"/>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Бројот на нововработените лица во АВРМ и бројот на вработените што се обучени за професионално д</w:t>
      </w:r>
      <w:r>
        <w:rPr>
          <w:rFonts w:ascii="StobiSerif Regular" w:hAnsi="StobiSerif Regular" w:cs="StobiSerif Regular"/>
          <w:lang w:val="mk-MK"/>
        </w:rPr>
        <w:t>авање услуги (Исход 3.1.3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АПВМ</w:t>
      </w:r>
      <w:r>
        <w:rPr>
          <w:rFonts w:ascii="StobiSerif Regular" w:hAnsi="StobiSerif Regular" w:cs="StobiSerif Regular"/>
          <w:lang w:val="mk-MK"/>
        </w:rPr>
        <w:t xml:space="preserve"> </w:t>
      </w:r>
      <w:r w:rsidRPr="00B453BC">
        <w:rPr>
          <w:rFonts w:ascii="StobiSerif Regular" w:hAnsi="StobiSerif Regular" w:cs="StobiSerif Regular"/>
          <w:lang w:val="mk-MK"/>
        </w:rPr>
        <w:t>)</w:t>
      </w:r>
    </w:p>
    <w:p w:rsidR="008A3D6C" w:rsidRPr="00B453BC" w:rsidRDefault="008A3D6C" w:rsidP="00150751">
      <w:pPr>
        <w:pStyle w:val="ListParagraph"/>
        <w:numPr>
          <w:ilvl w:val="1"/>
          <w:numId w:val="2"/>
        </w:numPr>
        <w:tabs>
          <w:tab w:val="left" w:pos="1134"/>
        </w:tabs>
        <w:spacing w:before="120" w:after="120" w:line="280" w:lineRule="auto"/>
        <w:ind w:left="1134"/>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 xml:space="preserve">Бројот на центри за вработување што добиваат доволно средства за обезбедување на основниот асортиман на услуги и програми за невработените клиенти (Исход 3.1.4 </w:t>
      </w:r>
      <w:r>
        <w:rPr>
          <w:rFonts w:ascii="StobiSerif Regular" w:hAnsi="StobiSerif Regular" w:cs="StobiSerif Regular"/>
          <w:lang w:val="mk-MK"/>
        </w:rPr>
        <w:t xml:space="preserve">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B453BC" w:rsidRDefault="008A3D6C" w:rsidP="00150751">
      <w:pPr>
        <w:pStyle w:val="ListParagraph"/>
        <w:numPr>
          <w:ilvl w:val="1"/>
          <w:numId w:val="2"/>
        </w:numPr>
        <w:tabs>
          <w:tab w:val="left" w:pos="1134"/>
        </w:tabs>
        <w:spacing w:before="120" w:after="120" w:line="280" w:lineRule="auto"/>
        <w:ind w:left="1134"/>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Број на млади клиенти што се профилирани и сегментирани за приоритетни</w:t>
      </w:r>
      <w:r>
        <w:rPr>
          <w:rFonts w:ascii="StobiSerif Regular" w:hAnsi="StobiSerif Regular" w:cs="StobiSerif Regular"/>
          <w:lang w:val="mk-MK"/>
        </w:rPr>
        <w:t xml:space="preserve"> интервенции (Исход 3.2.1 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B453BC" w:rsidRDefault="008A3D6C" w:rsidP="00150751">
      <w:pPr>
        <w:pStyle w:val="ListParagraph"/>
        <w:numPr>
          <w:ilvl w:val="1"/>
          <w:numId w:val="2"/>
        </w:numPr>
        <w:tabs>
          <w:tab w:val="left" w:pos="1134"/>
        </w:tabs>
        <w:spacing w:before="120" w:after="120" w:line="280" w:lineRule="auto"/>
        <w:ind w:left="1134"/>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Процентот од годишниот буџет за АППТ што се вложува во интервенции за олеснување на преминот на младите ли</w:t>
      </w:r>
      <w:r>
        <w:rPr>
          <w:rFonts w:ascii="StobiSerif Regular" w:hAnsi="StobiSerif Regular" w:cs="StobiSerif Regular"/>
          <w:lang w:val="mk-MK"/>
        </w:rPr>
        <w:t>ца на работа (Исход 3.2.2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АПВМ</w:t>
      </w:r>
      <w:r>
        <w:rPr>
          <w:rFonts w:ascii="StobiSerif Regular" w:hAnsi="StobiSerif Regular" w:cs="StobiSerif Regular"/>
          <w:lang w:val="mk-MK"/>
        </w:rPr>
        <w:t xml:space="preserve"> </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B453BC" w:rsidRDefault="008A3D6C" w:rsidP="00150751">
      <w:pPr>
        <w:pStyle w:val="ListParagraph"/>
        <w:numPr>
          <w:ilvl w:val="1"/>
          <w:numId w:val="2"/>
        </w:numPr>
        <w:tabs>
          <w:tab w:val="left" w:pos="1134"/>
        </w:tabs>
        <w:spacing w:before="120" w:after="120" w:line="280" w:lineRule="auto"/>
        <w:ind w:left="1134"/>
        <w:jc w:val="both"/>
        <w:rPr>
          <w:rFonts w:ascii="StobiSerif Regular" w:hAnsi="StobiSerif Regular" w:cs="StobiSerif Regular"/>
        </w:rPr>
      </w:pPr>
      <w:r w:rsidRPr="00B453BC">
        <w:rPr>
          <w:rFonts w:ascii="StobiSerif Regular" w:hAnsi="StobiSerif Regular" w:cs="StobiSerif Regular"/>
          <w:lang w:val="mk-MK"/>
        </w:rPr>
        <w:t xml:space="preserve">Бројот на младите лица што добиваат АППТ во економските сектори и занимањата што </w:t>
      </w:r>
      <w:r>
        <w:rPr>
          <w:rFonts w:ascii="StobiSerif Regular" w:hAnsi="StobiSerif Regular" w:cs="StobiSerif Regular"/>
          <w:lang w:val="mk-MK"/>
        </w:rPr>
        <w:t>бележат раст (Исход 3.2.3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АПВМ</w:t>
      </w:r>
      <w:r>
        <w:rPr>
          <w:rFonts w:ascii="StobiSerif Regular" w:hAnsi="StobiSerif Regular" w:cs="StobiSerif Regular"/>
          <w:lang w:val="mk-MK"/>
        </w:rPr>
        <w:t xml:space="preserve"> </w:t>
      </w:r>
      <w:r w:rsidRPr="00B453BC">
        <w:rPr>
          <w:rFonts w:ascii="StobiSerif Regular" w:hAnsi="StobiSerif Regular" w:cs="StobiSerif Regular"/>
          <w:lang w:val="mk-MK"/>
        </w:rPr>
        <w:t>)</w:t>
      </w:r>
    </w:p>
    <w:p w:rsidR="008A3D6C" w:rsidRPr="00B453BC" w:rsidRDefault="008A3D6C" w:rsidP="00150751">
      <w:pPr>
        <w:pStyle w:val="ListParagraph"/>
        <w:numPr>
          <w:ilvl w:val="1"/>
          <w:numId w:val="2"/>
        </w:numPr>
        <w:tabs>
          <w:tab w:val="left" w:pos="1134"/>
        </w:tabs>
        <w:spacing w:before="120" w:after="120" w:line="280" w:lineRule="auto"/>
        <w:ind w:left="1134"/>
        <w:jc w:val="both"/>
        <w:rPr>
          <w:rFonts w:ascii="StobiSerif Regular" w:hAnsi="StobiSerif Regular" w:cs="StobiSerif Regular"/>
        </w:rPr>
      </w:pPr>
      <w:r w:rsidRPr="00B453BC">
        <w:rPr>
          <w:rFonts w:ascii="StobiSerif Regular" w:hAnsi="StobiSerif Regular" w:cs="StobiSerif Regular"/>
          <w:lang w:val="mk-MK"/>
        </w:rPr>
        <w:t>Број на млади лица што се корисници на наменски услуги (услуги за поддршка на лицата што го напуштиле училиштето, „ден на младите“ во најголемите центри за вработување, младински саеми за вработување, младински инфо-точки на популарните музички и спортски нас</w:t>
      </w:r>
      <w:r>
        <w:rPr>
          <w:rFonts w:ascii="StobiSerif Regular" w:hAnsi="StobiSerif Regular" w:cs="StobiSerif Regular"/>
          <w:lang w:val="mk-MK"/>
        </w:rPr>
        <w:t>тани) (видете Исход 3.2.4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АПВМ</w:t>
      </w:r>
      <w:r>
        <w:rPr>
          <w:rFonts w:ascii="StobiSerif Regular" w:hAnsi="StobiSerif Regular" w:cs="StobiSerif Regular"/>
          <w:lang w:val="mk-MK"/>
        </w:rPr>
        <w:t xml:space="preserve"> </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B453BC" w:rsidRDefault="008A3D6C" w:rsidP="00A23556">
      <w:pPr>
        <w:pStyle w:val="ListParagraph"/>
        <w:tabs>
          <w:tab w:val="left" w:pos="1134"/>
        </w:tabs>
        <w:spacing w:before="120" w:after="120" w:line="280" w:lineRule="auto"/>
        <w:ind w:left="1134" w:hanging="283"/>
        <w:jc w:val="both"/>
        <w:rPr>
          <w:rFonts w:ascii="StobiSerif Regular" w:hAnsi="StobiSerif Regular" w:cs="StobiSerif Regular"/>
        </w:rPr>
      </w:pPr>
      <w:r>
        <w:rPr>
          <w:rFonts w:ascii="StobiSerif Regular" w:hAnsi="StobiSerif Regular" w:cs="StobiSerif Regular"/>
          <w:lang w:val="mk-MK"/>
        </w:rPr>
        <w:t xml:space="preserve">4.12  </w:t>
      </w:r>
      <w:r w:rsidRPr="00B453BC">
        <w:rPr>
          <w:rFonts w:ascii="StobiSerif Regular" w:hAnsi="StobiSerif Regular" w:cs="StobiSerif Regular"/>
          <w:lang w:val="mk-MK"/>
        </w:rPr>
        <w:t xml:space="preserve">Број на млади лица што првпат се пријавуваат во АВРМ што учествуваат во програмата Старт за </w:t>
      </w:r>
      <w:r>
        <w:rPr>
          <w:rFonts w:ascii="StobiSerif Regular" w:hAnsi="StobiSerif Regular" w:cs="StobiSerif Regular"/>
          <w:lang w:val="mk-MK"/>
        </w:rPr>
        <w:t xml:space="preserve">млади (Исход 3.2.5 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B453BC" w:rsidRDefault="008A3D6C" w:rsidP="00150751">
      <w:pPr>
        <w:pStyle w:val="ListParagraph"/>
        <w:numPr>
          <w:ilvl w:val="1"/>
          <w:numId w:val="4"/>
        </w:numPr>
        <w:tabs>
          <w:tab w:val="left" w:pos="1134"/>
        </w:tabs>
        <w:spacing w:before="60" w:after="60" w:line="280" w:lineRule="auto"/>
        <w:ind w:left="1134" w:hanging="283"/>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Број на вработени што добиваат услуги за анализа на работните места и задачи и за развој на човечките ресурси од персон</w:t>
      </w:r>
      <w:r>
        <w:rPr>
          <w:rFonts w:ascii="StobiSerif Regular" w:hAnsi="StobiSerif Regular" w:cs="StobiSerif Regular"/>
          <w:lang w:val="mk-MK"/>
        </w:rPr>
        <w:t xml:space="preserve">алот на АВРМ (Исход 3.3.1 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p>
    <w:p w:rsidR="008A3D6C" w:rsidRPr="00A23556" w:rsidRDefault="008A3D6C" w:rsidP="00150751">
      <w:pPr>
        <w:pStyle w:val="ListParagraph"/>
        <w:numPr>
          <w:ilvl w:val="1"/>
          <w:numId w:val="4"/>
        </w:numPr>
        <w:tabs>
          <w:tab w:val="left" w:pos="1134"/>
        </w:tabs>
        <w:spacing w:before="60" w:after="60" w:line="280" w:lineRule="auto"/>
        <w:ind w:hanging="289"/>
        <w:jc w:val="both"/>
        <w:rPr>
          <w:rFonts w:ascii="StobiSerif Regular" w:hAnsi="StobiSerif Regular" w:cs="StobiSerif Regular"/>
          <w:lang w:val="it-IT"/>
        </w:rPr>
      </w:pPr>
      <w:r w:rsidRPr="00A23556">
        <w:rPr>
          <w:rFonts w:ascii="StobiSerif Regular" w:hAnsi="StobiSerif Regular" w:cs="StobiSerif Regular"/>
          <w:lang w:val="mk-MK"/>
        </w:rPr>
        <w:t>Број на слободни работни места што се евидентирани од АВРМ (според занимање и според економски сектор) на три</w:t>
      </w:r>
      <w:r>
        <w:rPr>
          <w:rFonts w:ascii="StobiSerif Regular" w:hAnsi="StobiSerif Regular" w:cs="StobiSerif Regular"/>
          <w:lang w:val="mk-MK"/>
        </w:rPr>
        <w:t>месечно ниво (Исход 3.3.2 од</w:t>
      </w:r>
      <w:r w:rsidRPr="00506801">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АПВМ</w:t>
      </w:r>
      <w:r>
        <w:rPr>
          <w:rFonts w:ascii="StobiSerif Regular" w:hAnsi="StobiSerif Regular" w:cs="StobiSerif Regular"/>
          <w:lang w:val="mk-MK"/>
        </w:rPr>
        <w:t xml:space="preserve"> </w:t>
      </w:r>
      <w:r w:rsidRPr="00A23556">
        <w:rPr>
          <w:rFonts w:ascii="StobiSerif Regular" w:hAnsi="StobiSerif Regular" w:cs="StobiSerif Regular"/>
          <w:lang w:val="mk-MK"/>
        </w:rPr>
        <w:t>)</w:t>
      </w:r>
      <w:r w:rsidRPr="00A23556">
        <w:rPr>
          <w:rFonts w:ascii="StobiSerif Regular" w:hAnsi="StobiSerif Regular" w:cs="StobiSerif Regular"/>
        </w:rPr>
        <w:t xml:space="preserve"> </w:t>
      </w:r>
    </w:p>
    <w:p w:rsidR="008A3D6C" w:rsidRPr="00B453BC" w:rsidRDefault="008A3D6C" w:rsidP="00150751">
      <w:pPr>
        <w:pStyle w:val="ListParagraph"/>
        <w:numPr>
          <w:ilvl w:val="1"/>
          <w:numId w:val="4"/>
        </w:numPr>
        <w:tabs>
          <w:tab w:val="left" w:pos="1134"/>
        </w:tabs>
        <w:spacing w:after="200" w:line="280" w:lineRule="auto"/>
        <w:ind w:hanging="289"/>
        <w:jc w:val="both"/>
        <w:rPr>
          <w:rFonts w:ascii="StobiSerif Regular" w:hAnsi="StobiSerif Regular" w:cs="StobiSerif Regular"/>
        </w:rPr>
      </w:pPr>
      <w:r>
        <w:rPr>
          <w:rFonts w:ascii="StobiSerif Regular" w:hAnsi="StobiSerif Regular" w:cs="StobiSerif Regular"/>
          <w:lang w:val="mk-MK"/>
        </w:rPr>
        <w:t xml:space="preserve"> </w:t>
      </w:r>
      <w:r w:rsidRPr="00B453BC">
        <w:rPr>
          <w:rFonts w:ascii="StobiSerif Regular" w:hAnsi="StobiSerif Regular" w:cs="StobiSerif Regular"/>
          <w:lang w:val="mk-MK"/>
        </w:rPr>
        <w:t>Број на млади лица што за првпат бараат работа што добиваат услуги за посредување при вработување и се врабо</w:t>
      </w:r>
      <w:r>
        <w:rPr>
          <w:rFonts w:ascii="StobiSerif Regular" w:hAnsi="StobiSerif Regular" w:cs="StobiSerif Regular"/>
          <w:lang w:val="mk-MK"/>
        </w:rPr>
        <w:t xml:space="preserve">туваат потоа (Исход 3.3.3 од </w:t>
      </w:r>
      <w:r>
        <w:rPr>
          <w:rFonts w:ascii="StobiSerif Regular" w:hAnsi="StobiSerif Regular" w:cs="StobiSerif Regular"/>
          <w:sz w:val="22"/>
          <w:szCs w:val="22"/>
          <w:lang w:val="mk-MK"/>
        </w:rPr>
        <w:t>АПВМ</w:t>
      </w:r>
      <w:r w:rsidRPr="00B453BC">
        <w:rPr>
          <w:rFonts w:ascii="StobiSerif Regular" w:hAnsi="StobiSerif Regular" w:cs="StobiSerif Regular"/>
          <w:lang w:val="mk-MK"/>
        </w:rPr>
        <w:t>)</w:t>
      </w:r>
      <w:r w:rsidRPr="00B453BC">
        <w:rPr>
          <w:rFonts w:ascii="StobiSerif Regular" w:hAnsi="StobiSerif Regular" w:cs="StobiSerif Regular"/>
        </w:rPr>
        <w:t xml:space="preserve"> </w:t>
      </w:r>
    </w:p>
    <w:p w:rsidR="008A3D6C" w:rsidRPr="0059078C" w:rsidRDefault="008A3D6C" w:rsidP="00A23556">
      <w:pPr>
        <w:tabs>
          <w:tab w:val="left" w:pos="1134"/>
        </w:tabs>
        <w:spacing w:after="200" w:line="276" w:lineRule="auto"/>
        <w:ind w:left="1134"/>
        <w:jc w:val="both"/>
        <w:rPr>
          <w:rFonts w:ascii="StobiSerif Regular" w:hAnsi="StobiSerif Regular" w:cs="StobiSerif Regular"/>
          <w:lang w:val="mk-MK"/>
        </w:rPr>
      </w:pPr>
    </w:p>
    <w:p w:rsidR="008A3D6C" w:rsidRPr="00630C52" w:rsidRDefault="008A3D6C" w:rsidP="00150751">
      <w:pPr>
        <w:pStyle w:val="ListParagraph"/>
        <w:numPr>
          <w:ilvl w:val="0"/>
          <w:numId w:val="4"/>
        </w:numPr>
        <w:spacing w:before="120" w:after="120" w:line="280" w:lineRule="auto"/>
        <w:ind w:left="709" w:hanging="425"/>
        <w:jc w:val="both"/>
        <w:rPr>
          <w:rFonts w:ascii="StobiSerif Regular" w:hAnsi="StobiSerif Regular" w:cs="StobiSerif Regular"/>
          <w:sz w:val="22"/>
          <w:szCs w:val="22"/>
        </w:rPr>
      </w:pPr>
      <w:r>
        <w:rPr>
          <w:rFonts w:ascii="StobiSerif Regular" w:hAnsi="StobiSerif Regular" w:cs="StobiSerif Regular"/>
          <w:lang w:val="mk-MK"/>
        </w:rPr>
        <w:t xml:space="preserve">       </w:t>
      </w:r>
      <w:r w:rsidRPr="005B57F6">
        <w:rPr>
          <w:rFonts w:ascii="StobiSerif Regular" w:hAnsi="StobiSerif Regular" w:cs="StobiSerif Regular"/>
          <w:lang w:val="mk-MK"/>
        </w:rPr>
        <w:t>Се задолжува</w:t>
      </w:r>
      <w:r>
        <w:rPr>
          <w:rFonts w:ascii="StobiSerif Regular" w:hAnsi="StobiSerif Regular" w:cs="StobiSerif Regular"/>
          <w:lang w:val="mk-MK"/>
        </w:rPr>
        <w:t xml:space="preserve"> </w:t>
      </w:r>
      <w:r>
        <w:rPr>
          <w:rFonts w:ascii="StobiSerif Regular" w:hAnsi="StobiSerif Regular" w:cs="StobiSerif Regular"/>
          <w:b/>
          <w:bCs/>
          <w:lang w:val="mk-MK"/>
        </w:rPr>
        <w:t>Управата за јавни приходи во соработка со Агенцијата за вработување на Република Македонија</w:t>
      </w:r>
      <w:r w:rsidRPr="00630C52">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на годишно ниво да ја информира Владата на Република Македонија за износот на даночните олеснувања во однос на б</w:t>
      </w:r>
      <w:r w:rsidRPr="00630C52">
        <w:rPr>
          <w:rFonts w:ascii="StobiSerif Regular" w:hAnsi="StobiSerif Regular" w:cs="StobiSerif Regular"/>
          <w:sz w:val="22"/>
          <w:szCs w:val="22"/>
          <w:lang w:val="mk-MK"/>
        </w:rPr>
        <w:t xml:space="preserve">ројот на младите работници што се вработени преку ослободувањето од член 98 на Законот за вработување и осигурување во случај на невработеност) (Исход 2.1.2 од </w:t>
      </w:r>
      <w:r>
        <w:rPr>
          <w:rFonts w:ascii="StobiSerif Regular" w:hAnsi="StobiSerif Regular" w:cs="StobiSerif Regular"/>
          <w:sz w:val="22"/>
          <w:szCs w:val="22"/>
          <w:lang w:val="mk-MK"/>
        </w:rPr>
        <w:t>АПВМ</w:t>
      </w:r>
      <w:r w:rsidRPr="00630C52">
        <w:rPr>
          <w:rFonts w:ascii="StobiSerif Regular" w:hAnsi="StobiSerif Regular" w:cs="StobiSerif Regular"/>
          <w:sz w:val="22"/>
          <w:szCs w:val="22"/>
          <w:lang w:val="mk-MK"/>
        </w:rPr>
        <w:t>)</w:t>
      </w:r>
      <w:r>
        <w:rPr>
          <w:rFonts w:ascii="StobiSerif Regular" w:hAnsi="StobiSerif Regular" w:cs="StobiSerif Regular"/>
          <w:sz w:val="22"/>
          <w:szCs w:val="22"/>
          <w:lang w:val="mk-MK"/>
        </w:rPr>
        <w:t>.</w:t>
      </w:r>
    </w:p>
    <w:p w:rsidR="008A3D6C" w:rsidRPr="00630C52" w:rsidRDefault="008A3D6C" w:rsidP="00630C52">
      <w:pPr>
        <w:pStyle w:val="ListParagraph"/>
        <w:spacing w:before="120" w:after="120" w:line="280" w:lineRule="auto"/>
        <w:ind w:left="709"/>
        <w:jc w:val="both"/>
        <w:rPr>
          <w:rFonts w:ascii="StobiSerif Regular" w:hAnsi="StobiSerif Regular" w:cs="StobiSerif Regular"/>
          <w:sz w:val="22"/>
          <w:szCs w:val="22"/>
        </w:rPr>
      </w:pPr>
    </w:p>
    <w:p w:rsidR="008A3D6C" w:rsidRPr="008118B6" w:rsidRDefault="008A3D6C" w:rsidP="00150751">
      <w:pPr>
        <w:pStyle w:val="ListParagraph"/>
        <w:numPr>
          <w:ilvl w:val="0"/>
          <w:numId w:val="4"/>
        </w:numPr>
        <w:spacing w:after="200" w:line="280" w:lineRule="auto"/>
        <w:ind w:left="709" w:hanging="425"/>
        <w:jc w:val="both"/>
        <w:rPr>
          <w:rFonts w:ascii="StobiSerif Regular" w:hAnsi="StobiSerif Regular" w:cs="StobiSerif Regular"/>
          <w:sz w:val="22"/>
          <w:szCs w:val="22"/>
        </w:rPr>
      </w:pPr>
      <w:r>
        <w:rPr>
          <w:rFonts w:ascii="StobiSerif Regular" w:hAnsi="StobiSerif Regular" w:cs="StobiSerif Regular"/>
          <w:lang w:val="mk-MK"/>
        </w:rPr>
        <w:t xml:space="preserve">        Се ука</w:t>
      </w:r>
      <w:r w:rsidRPr="002B426C">
        <w:rPr>
          <w:rFonts w:ascii="StobiSerif Regular" w:hAnsi="StobiSerif Regular" w:cs="StobiSerif Regular"/>
          <w:lang w:val="mk-MK"/>
        </w:rPr>
        <w:t xml:space="preserve">жува </w:t>
      </w:r>
      <w:r>
        <w:rPr>
          <w:rFonts w:ascii="StobiSerif Regular" w:hAnsi="StobiSerif Regular" w:cs="StobiSerif Regular"/>
          <w:lang w:val="mk-MK"/>
        </w:rPr>
        <w:t xml:space="preserve">на </w:t>
      </w:r>
      <w:r w:rsidRPr="002B426C">
        <w:rPr>
          <w:rFonts w:ascii="StobiSerif Regular" w:hAnsi="StobiSerif Regular" w:cs="StobiSerif Regular"/>
          <w:b/>
          <w:bCs/>
          <w:lang w:val="mk-MK"/>
        </w:rPr>
        <w:t>Агенцијата за поддршка на претприемништвото на Република Македонија</w:t>
      </w:r>
      <w:r>
        <w:rPr>
          <w:rFonts w:ascii="StobiSerif Regular" w:hAnsi="StobiSerif Regular" w:cs="StobiSerif Regular"/>
          <w:b/>
          <w:bCs/>
          <w:lang w:val="mk-MK"/>
        </w:rPr>
        <w:t xml:space="preserve"> (АППРМ)</w:t>
      </w:r>
      <w:r w:rsidRPr="002B426C">
        <w:rPr>
          <w:rFonts w:ascii="StobiSerif Regular" w:hAnsi="StobiSerif Regular" w:cs="StobiSerif Regular"/>
          <w:lang w:val="mk-MK"/>
        </w:rPr>
        <w:t xml:space="preserve"> </w:t>
      </w:r>
      <w:r w:rsidRPr="002B426C">
        <w:rPr>
          <w:rFonts w:ascii="StobiSerif Regular" w:hAnsi="StobiSerif Regular" w:cs="StobiSerif Regular"/>
          <w:sz w:val="22"/>
          <w:szCs w:val="22"/>
          <w:lang w:val="mk-MK"/>
        </w:rPr>
        <w:t>на годишно ниво да ја информира Владата на Република Македонија</w:t>
      </w:r>
      <w:r>
        <w:rPr>
          <w:rFonts w:ascii="StobiSerif Regular" w:hAnsi="StobiSerif Regular" w:cs="StobiSerif Regular"/>
          <w:sz w:val="22"/>
          <w:szCs w:val="22"/>
          <w:lang w:val="mk-MK"/>
        </w:rPr>
        <w:t xml:space="preserve"> и Министерството за труд и социјална политика за</w:t>
      </w:r>
      <w:r w:rsidRPr="002B426C">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б</w:t>
      </w:r>
      <w:r w:rsidRPr="002B426C">
        <w:rPr>
          <w:rFonts w:ascii="StobiSerif Regular" w:hAnsi="StobiSerif Regular" w:cs="StobiSerif Regular"/>
          <w:sz w:val="22"/>
          <w:szCs w:val="22"/>
          <w:lang w:val="mk-MK"/>
        </w:rPr>
        <w:t>ројот на претпријатијата што добиваат услуги за развој на деловното работење на локално ниво и потоа добиваат пристап до кредитни линии што се достапни преку Македонската банка за поддршка</w:t>
      </w:r>
      <w:r>
        <w:rPr>
          <w:rFonts w:ascii="StobiSerif Regular" w:hAnsi="StobiSerif Regular" w:cs="StobiSerif Regular"/>
          <w:sz w:val="22"/>
          <w:szCs w:val="22"/>
          <w:lang w:val="mk-MK"/>
        </w:rPr>
        <w:t xml:space="preserve"> на развојот (Исход 2.1.3 од АПВМ</w:t>
      </w:r>
      <w:r w:rsidRPr="002B426C">
        <w:rPr>
          <w:rFonts w:ascii="StobiSerif Regular" w:hAnsi="StobiSerif Regular" w:cs="StobiSerif Regular"/>
          <w:sz w:val="22"/>
          <w:szCs w:val="22"/>
          <w:lang w:val="mk-MK"/>
        </w:rPr>
        <w:t>)</w:t>
      </w:r>
      <w:r>
        <w:rPr>
          <w:rFonts w:ascii="StobiSerif Regular" w:hAnsi="StobiSerif Regular" w:cs="StobiSerif Regular"/>
          <w:sz w:val="22"/>
          <w:szCs w:val="22"/>
          <w:lang w:val="mk-MK"/>
        </w:rPr>
        <w:t>.</w:t>
      </w:r>
    </w:p>
    <w:p w:rsidR="008A3D6C" w:rsidRPr="008118B6" w:rsidRDefault="008A3D6C" w:rsidP="008118B6">
      <w:pPr>
        <w:pStyle w:val="ListParagraph"/>
        <w:rPr>
          <w:rFonts w:ascii="StobiSerif Regular" w:hAnsi="StobiSerif Regular" w:cs="StobiSerif Regular"/>
          <w:sz w:val="22"/>
          <w:szCs w:val="22"/>
        </w:rPr>
      </w:pPr>
    </w:p>
    <w:p w:rsidR="008A3D6C" w:rsidRPr="008118B6" w:rsidRDefault="008A3D6C" w:rsidP="00804882">
      <w:pPr>
        <w:spacing w:line="280" w:lineRule="auto"/>
        <w:ind w:left="709" w:hanging="851"/>
        <w:jc w:val="both"/>
        <w:rPr>
          <w:rFonts w:ascii="StobiSerif Regular" w:hAnsi="StobiSerif Regular" w:cs="StobiSerif Regular"/>
          <w:sz w:val="22"/>
          <w:szCs w:val="22"/>
        </w:rPr>
      </w:pPr>
      <w:r>
        <w:rPr>
          <w:rFonts w:ascii="StobiSerif Regular" w:hAnsi="StobiSerif Regular" w:cs="StobiSerif Regular"/>
          <w:lang w:val="mk-MK"/>
        </w:rPr>
        <w:t xml:space="preserve">        7           </w:t>
      </w:r>
      <w:r w:rsidRPr="002B426C">
        <w:rPr>
          <w:rFonts w:ascii="StobiSerif Regular" w:hAnsi="StobiSerif Regular" w:cs="StobiSerif Regular"/>
          <w:lang w:val="mk-MK"/>
        </w:rPr>
        <w:t>Се задолжува</w:t>
      </w:r>
      <w:r w:rsidRPr="008118B6">
        <w:rPr>
          <w:rFonts w:ascii="StobiSerif Regular" w:hAnsi="StobiSerif Regular" w:cs="StobiSerif Regular"/>
          <w:b/>
          <w:bCs/>
          <w:sz w:val="22"/>
          <w:szCs w:val="22"/>
          <w:lang w:val="mk-MK"/>
        </w:rPr>
        <w:t xml:space="preserve"> Државниот завод за статистика</w:t>
      </w:r>
      <w:r>
        <w:rPr>
          <w:rFonts w:ascii="StobiSerif Regular" w:hAnsi="StobiSerif Regular" w:cs="StobiSerif Regular"/>
          <w:b/>
          <w:bCs/>
          <w:sz w:val="22"/>
          <w:szCs w:val="22"/>
          <w:lang w:val="mk-MK"/>
        </w:rPr>
        <w:t xml:space="preserve"> (ДЗС)</w:t>
      </w:r>
      <w:r w:rsidRPr="008118B6">
        <w:rPr>
          <w:rFonts w:ascii="StobiSerif Regular" w:hAnsi="StobiSerif Regular" w:cs="StobiSerif Regular"/>
          <w:b/>
          <w:bCs/>
          <w:sz w:val="22"/>
          <w:szCs w:val="22"/>
          <w:lang w:val="mk-MK"/>
        </w:rPr>
        <w:t xml:space="preserve"> </w:t>
      </w:r>
      <w:r w:rsidRPr="002B426C">
        <w:rPr>
          <w:rFonts w:ascii="StobiSerif Regular" w:hAnsi="StobiSerif Regular" w:cs="StobiSerif Regular"/>
          <w:sz w:val="22"/>
          <w:szCs w:val="22"/>
          <w:lang w:val="mk-MK"/>
        </w:rPr>
        <w:t>на годишно ниво да ја информира Владата на Република Македонија</w:t>
      </w:r>
      <w:r>
        <w:rPr>
          <w:rFonts w:ascii="StobiSerif Regular" w:hAnsi="StobiSerif Regular" w:cs="StobiSerif Regular"/>
          <w:sz w:val="22"/>
          <w:szCs w:val="22"/>
          <w:lang w:val="mk-MK"/>
        </w:rPr>
        <w:t xml:space="preserve"> и Министерството за труд и социјална политика </w:t>
      </w:r>
      <w:r w:rsidRPr="008118B6">
        <w:rPr>
          <w:rFonts w:ascii="StobiSerif Regular" w:hAnsi="StobiSerif Regular" w:cs="StobiSerif Regular"/>
          <w:sz w:val="22"/>
          <w:szCs w:val="22"/>
          <w:lang w:val="mk-MK"/>
        </w:rPr>
        <w:t>за:</w:t>
      </w:r>
    </w:p>
    <w:p w:rsidR="008A3D6C" w:rsidRPr="008118B6" w:rsidRDefault="008A3D6C" w:rsidP="00150751">
      <w:pPr>
        <w:pStyle w:val="ListParagraph"/>
        <w:numPr>
          <w:ilvl w:val="1"/>
          <w:numId w:val="5"/>
        </w:numPr>
        <w:spacing w:after="200" w:line="280" w:lineRule="auto"/>
        <w:jc w:val="both"/>
        <w:rPr>
          <w:rFonts w:ascii="StobiSerif Regular" w:hAnsi="StobiSerif Regular" w:cs="StobiSerif Regular"/>
          <w:sz w:val="22"/>
          <w:szCs w:val="22"/>
        </w:rPr>
      </w:pPr>
      <w:r w:rsidRPr="008118B6">
        <w:rPr>
          <w:rFonts w:ascii="StobiSerif Regular" w:hAnsi="StobiSerif Regular" w:cs="StobiSerif Regular"/>
          <w:sz w:val="22"/>
          <w:szCs w:val="22"/>
          <w:lang w:val="mk-MK"/>
        </w:rPr>
        <w:t>Неусогласеноста меѓу образованието и занимањето на младите лица (15-29) (ISCO08 и ISCED97)</w:t>
      </w:r>
    </w:p>
    <w:p w:rsidR="008A3D6C" w:rsidRPr="008118B6" w:rsidRDefault="008A3D6C" w:rsidP="00150751">
      <w:pPr>
        <w:pStyle w:val="ListParagraph"/>
        <w:numPr>
          <w:ilvl w:val="1"/>
          <w:numId w:val="5"/>
        </w:numPr>
        <w:spacing w:after="200" w:line="280" w:lineRule="auto"/>
        <w:jc w:val="both"/>
        <w:rPr>
          <w:rFonts w:ascii="StobiSerif Regular" w:hAnsi="StobiSerif Regular" w:cs="StobiSerif Regular"/>
          <w:sz w:val="22"/>
          <w:szCs w:val="22"/>
        </w:rPr>
      </w:pPr>
      <w:r w:rsidRPr="008118B6">
        <w:rPr>
          <w:rFonts w:ascii="StobiSerif Regular" w:hAnsi="StobiSerif Regular" w:cs="StobiSerif Regular"/>
          <w:sz w:val="22"/>
          <w:szCs w:val="22"/>
          <w:lang w:val="mk-MK"/>
        </w:rPr>
        <w:t>Уделот на лицата што предвремено го напуштаат образованието</w:t>
      </w:r>
    </w:p>
    <w:p w:rsidR="008A3D6C" w:rsidRPr="008118B6" w:rsidRDefault="008A3D6C" w:rsidP="00150751">
      <w:pPr>
        <w:pStyle w:val="ListParagraph"/>
        <w:numPr>
          <w:ilvl w:val="1"/>
          <w:numId w:val="5"/>
        </w:numPr>
        <w:spacing w:after="200" w:line="280" w:lineRule="auto"/>
        <w:jc w:val="both"/>
        <w:rPr>
          <w:rFonts w:ascii="StobiSerif Regular" w:hAnsi="StobiSerif Regular" w:cs="StobiSerif Regular"/>
          <w:sz w:val="22"/>
          <w:szCs w:val="22"/>
        </w:rPr>
      </w:pPr>
      <w:r w:rsidRPr="008118B6">
        <w:rPr>
          <w:rFonts w:ascii="StobiSerif Regular" w:hAnsi="StobiSerif Regular" w:cs="StobiSerif Regular"/>
          <w:sz w:val="22"/>
          <w:szCs w:val="22"/>
          <w:lang w:val="mk-MK"/>
        </w:rPr>
        <w:t>Младо население (15-29) според ниво на образование</w:t>
      </w:r>
    </w:p>
    <w:p w:rsidR="008A3D6C" w:rsidRPr="008118B6" w:rsidRDefault="008A3D6C" w:rsidP="00150751">
      <w:pPr>
        <w:pStyle w:val="ListParagraph"/>
        <w:numPr>
          <w:ilvl w:val="1"/>
          <w:numId w:val="5"/>
        </w:numPr>
        <w:spacing w:after="200" w:line="280" w:lineRule="auto"/>
        <w:jc w:val="both"/>
        <w:rPr>
          <w:rFonts w:ascii="StobiSerif Regular" w:hAnsi="StobiSerif Regular" w:cs="StobiSerif Regular"/>
          <w:sz w:val="22"/>
          <w:szCs w:val="22"/>
        </w:rPr>
      </w:pPr>
      <w:r w:rsidRPr="008118B6">
        <w:rPr>
          <w:rFonts w:ascii="StobiSerif Regular" w:hAnsi="StobiSerif Regular" w:cs="StobiSerif Regular"/>
          <w:sz w:val="22"/>
          <w:szCs w:val="22"/>
          <w:lang w:val="mk-MK"/>
        </w:rPr>
        <w:t xml:space="preserve">Стапка на активност на младите лица (15-29) </w:t>
      </w:r>
    </w:p>
    <w:p w:rsidR="008A3D6C" w:rsidRDefault="008A3D6C" w:rsidP="00150751">
      <w:pPr>
        <w:pStyle w:val="ListParagraph"/>
        <w:numPr>
          <w:ilvl w:val="1"/>
          <w:numId w:val="5"/>
        </w:numPr>
        <w:spacing w:after="200" w:line="280" w:lineRule="auto"/>
        <w:jc w:val="both"/>
        <w:rPr>
          <w:rFonts w:ascii="StobiSerif Regular" w:hAnsi="StobiSerif Regular" w:cs="StobiSerif Regular"/>
          <w:sz w:val="22"/>
          <w:szCs w:val="22"/>
        </w:rPr>
      </w:pPr>
      <w:r w:rsidRPr="008118B6">
        <w:rPr>
          <w:rFonts w:ascii="StobiSerif Regular" w:hAnsi="StobiSerif Regular" w:cs="StobiSerif Regular"/>
          <w:sz w:val="22"/>
          <w:szCs w:val="22"/>
          <w:lang w:val="mk-MK"/>
        </w:rPr>
        <w:t>Уделот на лицата на возраст 30-34 години со завршено високо образование</w:t>
      </w:r>
      <w:r w:rsidRPr="008118B6">
        <w:rPr>
          <w:rFonts w:ascii="StobiSerif Regular" w:hAnsi="StobiSerif Regular" w:cs="StobiSerif Regular"/>
          <w:sz w:val="22"/>
          <w:szCs w:val="22"/>
        </w:rPr>
        <w:t xml:space="preserve"> </w:t>
      </w:r>
      <w:r>
        <w:rPr>
          <w:rFonts w:ascii="StobiSerif Regular" w:hAnsi="StobiSerif Regular" w:cs="StobiSerif Regular"/>
          <w:sz w:val="22"/>
          <w:szCs w:val="22"/>
          <w:lang w:val="mk-MK"/>
        </w:rPr>
        <w:t>во вкупниот број на лица од истата возрасна група</w:t>
      </w:r>
      <w:r w:rsidRPr="008118B6">
        <w:rPr>
          <w:rFonts w:ascii="StobiSerif Regular" w:hAnsi="StobiSerif Regular" w:cs="StobiSerif Regular"/>
          <w:sz w:val="22"/>
          <w:szCs w:val="22"/>
        </w:rPr>
        <w:t xml:space="preserve"> </w:t>
      </w:r>
    </w:p>
    <w:p w:rsidR="008A3D6C" w:rsidRDefault="008A3D6C" w:rsidP="00506801">
      <w:pPr>
        <w:pStyle w:val="ListParagraph"/>
        <w:spacing w:after="200" w:line="280" w:lineRule="auto"/>
        <w:ind w:left="360"/>
        <w:jc w:val="both"/>
        <w:rPr>
          <w:rFonts w:ascii="StobiSerif Regular" w:hAnsi="StobiSerif Regular" w:cs="StobiSerif Regular"/>
          <w:sz w:val="22"/>
          <w:szCs w:val="22"/>
          <w:lang w:val="mk-MK"/>
        </w:rPr>
      </w:pPr>
    </w:p>
    <w:p w:rsidR="008A3D6C" w:rsidRPr="003234D9" w:rsidRDefault="008A3D6C" w:rsidP="003234D9">
      <w:pPr>
        <w:pStyle w:val="ListParagraph"/>
        <w:numPr>
          <w:ilvl w:val="0"/>
          <w:numId w:val="5"/>
        </w:numPr>
        <w:spacing w:before="120" w:after="120" w:line="280" w:lineRule="auto"/>
        <w:ind w:left="709" w:hanging="425"/>
        <w:jc w:val="both"/>
        <w:rPr>
          <w:rFonts w:ascii="StobiSerif Regular" w:hAnsi="StobiSerif Regular" w:cs="StobiSerif Regular"/>
          <w:sz w:val="22"/>
          <w:szCs w:val="22"/>
        </w:rPr>
      </w:pPr>
      <w:r>
        <w:rPr>
          <w:rFonts w:ascii="StobiSerif Regular" w:hAnsi="StobiSerif Regular" w:cs="StobiSerif Regular"/>
          <w:lang w:val="mk-MK"/>
        </w:rPr>
        <w:t xml:space="preserve">       Се укажува на</w:t>
      </w:r>
      <w:r w:rsidRPr="003234D9">
        <w:rPr>
          <w:rFonts w:ascii="StobiSerif Regular" w:hAnsi="StobiSerif Regular" w:cs="StobiSerif Regular"/>
          <w:lang w:val="mk-MK"/>
        </w:rPr>
        <w:t xml:space="preserve"> </w:t>
      </w:r>
      <w:r w:rsidRPr="003234D9">
        <w:rPr>
          <w:rFonts w:ascii="StobiSerif Regular" w:hAnsi="StobiSerif Regular" w:cs="StobiSerif Regular"/>
          <w:b/>
          <w:bCs/>
          <w:sz w:val="22"/>
          <w:szCs w:val="22"/>
          <w:lang w:val="mk-MK"/>
        </w:rPr>
        <w:t xml:space="preserve">Фондот за иновации и технолошки развој </w:t>
      </w:r>
      <w:r w:rsidRPr="00EC7F96">
        <w:rPr>
          <w:rFonts w:ascii="StobiSerif Regular" w:hAnsi="StobiSerif Regular" w:cs="StobiSerif Regular"/>
          <w:b/>
          <w:bCs/>
          <w:sz w:val="22"/>
          <w:szCs w:val="22"/>
          <w:lang w:val="mk-MK"/>
        </w:rPr>
        <w:t xml:space="preserve">(ФИТР) </w:t>
      </w:r>
      <w:r w:rsidRPr="002B426C">
        <w:rPr>
          <w:rFonts w:ascii="StobiSerif Regular" w:hAnsi="StobiSerif Regular" w:cs="StobiSerif Regular"/>
          <w:sz w:val="22"/>
          <w:szCs w:val="22"/>
          <w:lang w:val="mk-MK"/>
        </w:rPr>
        <w:t>на годишно ниво да ја информира Владата на Република Македонија</w:t>
      </w:r>
      <w:r>
        <w:rPr>
          <w:rFonts w:ascii="StobiSerif Regular" w:hAnsi="StobiSerif Regular" w:cs="StobiSerif Regular"/>
          <w:sz w:val="22"/>
          <w:szCs w:val="22"/>
          <w:lang w:val="mk-MK"/>
        </w:rPr>
        <w:t xml:space="preserve"> за б</w:t>
      </w:r>
      <w:r w:rsidRPr="003234D9">
        <w:rPr>
          <w:rFonts w:ascii="StobiSerif Regular" w:hAnsi="StobiSerif Regular" w:cs="StobiSerif Regular"/>
          <w:sz w:val="22"/>
          <w:szCs w:val="22"/>
          <w:lang w:val="mk-MK"/>
        </w:rPr>
        <w:t>ројот на претприј</w:t>
      </w:r>
      <w:r>
        <w:rPr>
          <w:rFonts w:ascii="StobiSerif Regular" w:hAnsi="StobiSerif Regular" w:cs="StobiSerif Regular"/>
          <w:sz w:val="22"/>
          <w:szCs w:val="22"/>
          <w:lang w:val="mk-MK"/>
        </w:rPr>
        <w:t>атија што добиле грант од ФИТР</w:t>
      </w:r>
      <w:r w:rsidRPr="003234D9">
        <w:rPr>
          <w:rFonts w:ascii="StobiSerif Regular" w:hAnsi="StobiSerif Regular" w:cs="StobiSerif Regular"/>
          <w:sz w:val="22"/>
          <w:szCs w:val="22"/>
          <w:lang w:val="mk-MK"/>
        </w:rPr>
        <w:t xml:space="preserve"> и бројот на ангажираните работници (според возрасната група) (Исход 2.1.4 од АПВМ)</w:t>
      </w:r>
      <w:r>
        <w:rPr>
          <w:rFonts w:ascii="StobiSerif Regular" w:hAnsi="StobiSerif Regular" w:cs="StobiSerif Regular"/>
          <w:sz w:val="22"/>
          <w:szCs w:val="22"/>
          <w:lang w:val="mk-MK"/>
        </w:rPr>
        <w:t>.</w:t>
      </w:r>
    </w:p>
    <w:p w:rsidR="008A3D6C" w:rsidRDefault="008A3D6C" w:rsidP="003234D9">
      <w:pPr>
        <w:pStyle w:val="ListParagraph"/>
        <w:spacing w:before="120" w:after="120" w:line="280" w:lineRule="auto"/>
        <w:ind w:left="709"/>
        <w:jc w:val="both"/>
        <w:rPr>
          <w:rFonts w:ascii="StobiSerif Regular" w:hAnsi="StobiSerif Regular" w:cs="StobiSerif Regular"/>
          <w:sz w:val="22"/>
          <w:szCs w:val="22"/>
          <w:lang w:val="mk-MK"/>
        </w:rPr>
      </w:pPr>
    </w:p>
    <w:p w:rsidR="008A3D6C" w:rsidRPr="003234D9" w:rsidRDefault="008A3D6C" w:rsidP="00B332C8">
      <w:pPr>
        <w:pStyle w:val="ListParagraph"/>
        <w:spacing w:before="120" w:after="120" w:line="280" w:lineRule="auto"/>
        <w:ind w:left="360"/>
        <w:jc w:val="both"/>
        <w:rPr>
          <w:rFonts w:ascii="StobiSerif Regular" w:hAnsi="StobiSerif Regular" w:cs="StobiSerif Regular"/>
          <w:sz w:val="22"/>
          <w:szCs w:val="22"/>
        </w:rPr>
      </w:pPr>
      <w:r>
        <w:rPr>
          <w:rFonts w:ascii="StobiSerif Regular" w:hAnsi="StobiSerif Regular" w:cs="StobiSerif Regular"/>
          <w:sz w:val="22"/>
          <w:szCs w:val="22"/>
          <w:lang w:val="mk-MK"/>
        </w:rPr>
        <w:t xml:space="preserve">   </w:t>
      </w:r>
    </w:p>
    <w:p w:rsidR="008A3D6C" w:rsidRPr="008118B6" w:rsidRDefault="008A3D6C" w:rsidP="008118B6">
      <w:pPr>
        <w:spacing w:after="200" w:line="280" w:lineRule="auto"/>
        <w:jc w:val="both"/>
        <w:rPr>
          <w:rFonts w:ascii="StobiSerif Regular" w:hAnsi="StobiSerif Regular" w:cs="StobiSerif Regular"/>
          <w:sz w:val="22"/>
          <w:szCs w:val="22"/>
        </w:rPr>
      </w:pPr>
      <w:r w:rsidRPr="008118B6">
        <w:rPr>
          <w:rFonts w:ascii="StobiSerif Regular" w:hAnsi="StobiSerif Regular" w:cs="StobiSerif Regular"/>
          <w:lang w:val="mk-MK"/>
        </w:rPr>
        <w:t xml:space="preserve"> </w:t>
      </w:r>
    </w:p>
    <w:p w:rsidR="008A3D6C" w:rsidRPr="006D5D8E" w:rsidRDefault="008A3D6C" w:rsidP="00630C52">
      <w:pPr>
        <w:pStyle w:val="ListParagraph"/>
        <w:tabs>
          <w:tab w:val="left" w:pos="1134"/>
        </w:tabs>
        <w:spacing w:after="200" w:line="276" w:lineRule="auto"/>
        <w:jc w:val="both"/>
        <w:rPr>
          <w:rFonts w:ascii="StobiSerif Regular" w:hAnsi="StobiSerif Regular" w:cs="StobiSerif Regular"/>
          <w:lang w:val="mk-MK"/>
        </w:rPr>
      </w:pPr>
    </w:p>
    <w:p w:rsidR="008A3D6C" w:rsidRPr="00BF7955" w:rsidRDefault="008A3D6C" w:rsidP="00A23556">
      <w:pPr>
        <w:tabs>
          <w:tab w:val="left" w:pos="1134"/>
        </w:tabs>
        <w:ind w:left="1134"/>
        <w:jc w:val="both"/>
        <w:rPr>
          <w:rFonts w:ascii="StobiSerif Regular" w:hAnsi="StobiSerif Regular" w:cs="StobiSerif Regular"/>
          <w:b/>
          <w:bCs/>
          <w:color w:val="0070C0"/>
          <w:sz w:val="22"/>
          <w:szCs w:val="22"/>
          <w:lang w:val="mk-MK"/>
        </w:rPr>
      </w:pPr>
    </w:p>
    <w:p w:rsidR="008A3D6C" w:rsidRPr="00BF7955" w:rsidRDefault="008A3D6C" w:rsidP="00A23556">
      <w:pPr>
        <w:tabs>
          <w:tab w:val="left" w:pos="1134"/>
        </w:tabs>
        <w:ind w:left="1134"/>
        <w:jc w:val="both"/>
        <w:rPr>
          <w:rFonts w:ascii="StobiSerif Regular" w:hAnsi="StobiSerif Regular" w:cs="StobiSerif Regular"/>
          <w:sz w:val="22"/>
          <w:szCs w:val="22"/>
          <w:lang w:val="mk-MK"/>
        </w:rPr>
      </w:pPr>
    </w:p>
    <w:p w:rsidR="008A3D6C" w:rsidRPr="00BF7955" w:rsidRDefault="008A3D6C" w:rsidP="00A23556">
      <w:pPr>
        <w:tabs>
          <w:tab w:val="left" w:pos="1134"/>
        </w:tabs>
        <w:ind w:left="1134"/>
        <w:jc w:val="both"/>
        <w:rPr>
          <w:rFonts w:ascii="StobiSerif Regular" w:hAnsi="StobiSerif Regular" w:cs="StobiSerif Regular"/>
          <w:sz w:val="22"/>
          <w:szCs w:val="22"/>
          <w:lang w:val="en-US"/>
        </w:rPr>
      </w:pPr>
    </w:p>
    <w:p w:rsidR="008A3D6C" w:rsidRPr="00BF7955" w:rsidRDefault="008A3D6C" w:rsidP="00A23556">
      <w:pPr>
        <w:tabs>
          <w:tab w:val="left" w:pos="1134"/>
        </w:tabs>
        <w:ind w:left="1134"/>
        <w:jc w:val="both"/>
        <w:rPr>
          <w:rFonts w:ascii="StobiSerif Regular" w:hAnsi="StobiSerif Regular" w:cs="StobiSerif Regular"/>
          <w:b/>
          <w:bCs/>
          <w:color w:val="0070C0"/>
          <w:sz w:val="22"/>
          <w:szCs w:val="22"/>
        </w:rPr>
      </w:pPr>
    </w:p>
    <w:sectPr w:rsidR="008A3D6C" w:rsidRPr="00BF7955" w:rsidSect="0059078C">
      <w:pgSz w:w="11906" w:h="16838"/>
      <w:pgMar w:top="1440" w:right="1440"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D6C" w:rsidRDefault="008A3D6C" w:rsidP="00EE2191">
      <w:r>
        <w:separator/>
      </w:r>
    </w:p>
  </w:endnote>
  <w:endnote w:type="continuationSeparator" w:id="1">
    <w:p w:rsidR="008A3D6C" w:rsidRDefault="008A3D6C" w:rsidP="00EE2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ecilia">
    <w:altName w:val="Times New Roman"/>
    <w:panose1 w:val="00000000000000000000"/>
    <w:charset w:val="00"/>
    <w:family w:val="roman"/>
    <w:notTrueType/>
    <w:pitch w:val="default"/>
    <w:sig w:usb0="00000003" w:usb1="00000000" w:usb2="00000000" w:usb3="00000000" w:csb0="00000001"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TE2844728t00">
    <w:altName w:val="Arial Unicode MS"/>
    <w:panose1 w:val="00000000000000000000"/>
    <w:charset w:val="80"/>
    <w:family w:val="auto"/>
    <w:notTrueType/>
    <w:pitch w:val="default"/>
    <w:sig w:usb0="00000001" w:usb1="08070000" w:usb2="00000010" w:usb3="00000000" w:csb0="00020000" w:csb1="00000000"/>
  </w:font>
  <w:font w:name="SimSun">
    <w:altName w:val="§­§°§®§Ö"/>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6C" w:rsidRDefault="008A3D6C" w:rsidP="00E7323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6C" w:rsidRPr="00E73238" w:rsidRDefault="008A3D6C">
    <w:pPr>
      <w:pStyle w:val="Footer"/>
      <w:rPr>
        <w:rFonts w:ascii="StobiSerif Regular" w:hAnsi="StobiSerif Regular" w:cs="StobiSerif Regular"/>
        <w:sz w:val="22"/>
        <w:szCs w:val="22"/>
        <w:lang w:val="mk-MK"/>
      </w:rPr>
    </w:pPr>
    <w:r w:rsidRPr="00E73238">
      <w:rPr>
        <w:rFonts w:ascii="StobiSerif Regular" w:hAnsi="StobiSerif Regular" w:cs="StobiSerif Regular"/>
        <w:sz w:val="22"/>
        <w:szCs w:val="22"/>
        <w:lang w:val="mk-MK"/>
      </w:rPr>
      <w:t xml:space="preserve">                                   </w:t>
    </w:r>
    <w:r>
      <w:rPr>
        <w:rFonts w:ascii="StobiSerif Regular" w:hAnsi="StobiSerif Regular" w:cs="StobiSerif Regular"/>
        <w:sz w:val="22"/>
        <w:szCs w:val="22"/>
        <w:lang w:val="mk-MK"/>
      </w:rPr>
      <w:t xml:space="preserve">                 </w:t>
    </w:r>
    <w:r w:rsidRPr="00E73238">
      <w:rPr>
        <w:rFonts w:ascii="StobiSerif Regular" w:hAnsi="StobiSerif Regular" w:cs="StobiSerif Regular"/>
        <w:sz w:val="22"/>
        <w:szCs w:val="22"/>
        <w:lang w:val="mk-MK"/>
      </w:rPr>
      <w:t>Скопје, јули 2015 година</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6C" w:rsidRDefault="008A3D6C" w:rsidP="00335219">
    <w:pPr>
      <w:pStyle w:val="Footer"/>
      <w:jc w:val="center"/>
    </w:pPr>
    <w:r w:rsidRPr="00A10410">
      <w:rPr>
        <w:rStyle w:val="PageNumber"/>
      </w:rPr>
      <w:fldChar w:fldCharType="begin"/>
    </w:r>
    <w:r w:rsidRPr="00A10410">
      <w:rPr>
        <w:rStyle w:val="PageNumber"/>
      </w:rPr>
      <w:instrText xml:space="preserve">PAGE  </w:instrText>
    </w:r>
    <w:r w:rsidRPr="00A10410">
      <w:rPr>
        <w:rStyle w:val="PageNumber"/>
      </w:rPr>
      <w:fldChar w:fldCharType="separate"/>
    </w:r>
    <w:r>
      <w:rPr>
        <w:rStyle w:val="PageNumber"/>
        <w:noProof/>
      </w:rPr>
      <w:t>- 52 -</w:t>
    </w:r>
    <w:r w:rsidRPr="00A10410">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6C" w:rsidRDefault="008A3D6C" w:rsidP="0022521A">
    <w:pPr>
      <w:pStyle w:val="Footer"/>
      <w:jc w:val="center"/>
    </w:pPr>
    <w:r w:rsidRPr="0022521A">
      <w:rPr>
        <w:rStyle w:val="PageNumber"/>
        <w:sz w:val="22"/>
        <w:szCs w:val="22"/>
      </w:rPr>
      <w:fldChar w:fldCharType="begin"/>
    </w:r>
    <w:r w:rsidRPr="0022521A">
      <w:rPr>
        <w:rStyle w:val="PageNumber"/>
        <w:sz w:val="22"/>
        <w:szCs w:val="22"/>
      </w:rPr>
      <w:instrText xml:space="preserve"> PAGE   \* MERGEFORMAT </w:instrText>
    </w:r>
    <w:r w:rsidRPr="0022521A">
      <w:rPr>
        <w:rStyle w:val="PageNumber"/>
        <w:sz w:val="22"/>
        <w:szCs w:val="22"/>
      </w:rPr>
      <w:fldChar w:fldCharType="separate"/>
    </w:r>
    <w:r>
      <w:rPr>
        <w:rStyle w:val="PageNumber"/>
        <w:noProof/>
        <w:sz w:val="22"/>
        <w:szCs w:val="22"/>
      </w:rPr>
      <w:t>87</w:t>
    </w:r>
    <w:r w:rsidRPr="0022521A">
      <w:rPr>
        <w:rStyle w:val="PageNumbe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D6C" w:rsidRDefault="008A3D6C" w:rsidP="00EE2191">
      <w:r>
        <w:separator/>
      </w:r>
    </w:p>
  </w:footnote>
  <w:footnote w:type="continuationSeparator" w:id="1">
    <w:p w:rsidR="008A3D6C" w:rsidRDefault="008A3D6C" w:rsidP="00EE2191">
      <w:r>
        <w:continuationSeparator/>
      </w:r>
    </w:p>
  </w:footnote>
  <w:footnote w:id="2">
    <w:p w:rsidR="008A3D6C" w:rsidRDefault="008A3D6C" w:rsidP="00EE1C76">
      <w:pPr>
        <w:pStyle w:val="FootnoteText"/>
        <w:jc w:val="both"/>
      </w:pPr>
      <w:r w:rsidRPr="00F84768">
        <w:rPr>
          <w:rStyle w:val="FootnoteReference"/>
          <w:sz w:val="18"/>
          <w:szCs w:val="18"/>
        </w:rPr>
        <w:footnoteRef/>
      </w:r>
      <w:r w:rsidRPr="00F84768">
        <w:rPr>
          <w:sz w:val="18"/>
          <w:szCs w:val="18"/>
        </w:rPr>
        <w:t xml:space="preserve"> </w:t>
      </w:r>
      <w:r>
        <w:rPr>
          <w:sz w:val="18"/>
          <w:szCs w:val="18"/>
        </w:rPr>
        <w:t>Вработеност на ранливи категории е уделот на работниците во вкупната вработеност што се ангажирани во самовработување (без дополнителни вработени) и како неплатени семејни работници</w:t>
      </w:r>
      <w:r w:rsidRPr="00F84768">
        <w:rPr>
          <w:sz w:val="18"/>
          <w:szCs w:val="18"/>
        </w:rPr>
        <w:t xml:space="preserve">. </w:t>
      </w:r>
      <w:r>
        <w:rPr>
          <w:sz w:val="18"/>
          <w:szCs w:val="18"/>
          <w:lang w:val="mk-MK"/>
        </w:rPr>
        <w:t>Причината за ова е фактот што овие работници често немаат пристап до аранжмани за социјално осигурување, работат во неформалната економија и се поизложени на ниско платена работа и работна сиромаштија</w:t>
      </w:r>
      <w:r w:rsidRPr="00F84768">
        <w:rPr>
          <w:sz w:val="18"/>
          <w:szCs w:val="18"/>
        </w:rPr>
        <w:t xml:space="preserve">. </w:t>
      </w:r>
    </w:p>
  </w:footnote>
  <w:footnote w:id="3">
    <w:p w:rsidR="008A3D6C" w:rsidRDefault="008A3D6C" w:rsidP="00EE1C76">
      <w:pPr>
        <w:pStyle w:val="FootnoteText"/>
        <w:jc w:val="both"/>
      </w:pPr>
      <w:r w:rsidRPr="004D0E64">
        <w:rPr>
          <w:rStyle w:val="FootnoteReference"/>
          <w:sz w:val="18"/>
          <w:szCs w:val="18"/>
        </w:rPr>
        <w:footnoteRef/>
      </w:r>
      <w:r w:rsidRPr="004D0E64">
        <w:rPr>
          <w:sz w:val="18"/>
          <w:szCs w:val="18"/>
        </w:rPr>
        <w:t xml:space="preserve"> </w:t>
      </w:r>
      <w:r>
        <w:rPr>
          <w:sz w:val="18"/>
          <w:szCs w:val="18"/>
          <w:lang w:val="mk-MK"/>
        </w:rPr>
        <w:t>Ако се земат предвид и недоволно квалификуваните</w:t>
      </w:r>
      <w:r w:rsidRPr="004D0E64">
        <w:rPr>
          <w:sz w:val="18"/>
          <w:szCs w:val="18"/>
        </w:rPr>
        <w:t xml:space="preserve"> (</w:t>
      </w:r>
      <w:r>
        <w:rPr>
          <w:sz w:val="18"/>
          <w:szCs w:val="18"/>
          <w:lang w:val="mk-MK"/>
        </w:rPr>
        <w:t>т</w:t>
      </w:r>
      <w:r w:rsidRPr="004D0E64">
        <w:rPr>
          <w:sz w:val="18"/>
          <w:szCs w:val="18"/>
        </w:rPr>
        <w:t>.</w:t>
      </w:r>
      <w:r>
        <w:rPr>
          <w:sz w:val="18"/>
          <w:szCs w:val="18"/>
          <w:lang w:val="mk-MK"/>
        </w:rPr>
        <w:t>е</w:t>
      </w:r>
      <w:r w:rsidRPr="004D0E64">
        <w:rPr>
          <w:sz w:val="18"/>
          <w:szCs w:val="18"/>
        </w:rPr>
        <w:t xml:space="preserve">. </w:t>
      </w:r>
      <w:r>
        <w:rPr>
          <w:sz w:val="18"/>
          <w:szCs w:val="18"/>
          <w:lang w:val="mk-MK"/>
        </w:rPr>
        <w:t>млади работници со</w:t>
      </w:r>
      <w:r w:rsidRPr="004D0E64">
        <w:rPr>
          <w:sz w:val="18"/>
          <w:szCs w:val="18"/>
        </w:rPr>
        <w:t xml:space="preserve"> ISCED 0-2 </w:t>
      </w:r>
      <w:r>
        <w:rPr>
          <w:sz w:val="18"/>
          <w:szCs w:val="18"/>
          <w:lang w:val="mk-MK"/>
        </w:rPr>
        <w:t>што работат во групите на занимања од</w:t>
      </w:r>
      <w:r w:rsidRPr="004D0E64">
        <w:rPr>
          <w:sz w:val="18"/>
          <w:szCs w:val="18"/>
        </w:rPr>
        <w:t xml:space="preserve"> 1 </w:t>
      </w:r>
      <w:r>
        <w:rPr>
          <w:sz w:val="18"/>
          <w:szCs w:val="18"/>
          <w:lang w:val="mk-MK"/>
        </w:rPr>
        <w:t>до</w:t>
      </w:r>
      <w:r w:rsidRPr="004D0E64">
        <w:rPr>
          <w:sz w:val="18"/>
          <w:szCs w:val="18"/>
        </w:rPr>
        <w:t xml:space="preserve"> 8 </w:t>
      </w:r>
      <w:r>
        <w:rPr>
          <w:sz w:val="18"/>
          <w:szCs w:val="18"/>
          <w:lang w:val="mk-MK"/>
        </w:rPr>
        <w:t>и младите</w:t>
      </w:r>
      <w:r w:rsidRPr="004D0E64">
        <w:rPr>
          <w:sz w:val="18"/>
          <w:szCs w:val="18"/>
        </w:rPr>
        <w:t xml:space="preserve"> </w:t>
      </w:r>
      <w:r>
        <w:rPr>
          <w:sz w:val="18"/>
          <w:szCs w:val="18"/>
          <w:lang w:val="mk-MK"/>
        </w:rPr>
        <w:t>работници</w:t>
      </w:r>
      <w:r w:rsidRPr="004D0E64">
        <w:rPr>
          <w:sz w:val="18"/>
          <w:szCs w:val="18"/>
        </w:rPr>
        <w:t xml:space="preserve"> ISCED 3 </w:t>
      </w:r>
      <w:r>
        <w:rPr>
          <w:sz w:val="18"/>
          <w:szCs w:val="18"/>
          <w:lang w:val="mk-MK"/>
        </w:rPr>
        <w:t>и</w:t>
      </w:r>
      <w:r w:rsidRPr="004D0E64">
        <w:rPr>
          <w:sz w:val="18"/>
          <w:szCs w:val="18"/>
        </w:rPr>
        <w:t xml:space="preserve"> 4 </w:t>
      </w:r>
      <w:r>
        <w:rPr>
          <w:sz w:val="18"/>
          <w:szCs w:val="18"/>
          <w:lang w:val="mk-MK"/>
        </w:rPr>
        <w:t>што работат на групите занимања од</w:t>
      </w:r>
      <w:r w:rsidRPr="004D0E64">
        <w:rPr>
          <w:sz w:val="18"/>
          <w:szCs w:val="18"/>
        </w:rPr>
        <w:t xml:space="preserve"> 1 </w:t>
      </w:r>
      <w:r>
        <w:rPr>
          <w:sz w:val="18"/>
          <w:szCs w:val="18"/>
          <w:lang w:val="mk-MK"/>
        </w:rPr>
        <w:t>до</w:t>
      </w:r>
      <w:r>
        <w:rPr>
          <w:sz w:val="18"/>
          <w:szCs w:val="18"/>
        </w:rPr>
        <w:t xml:space="preserve"> 4)</w:t>
      </w:r>
      <w:r w:rsidRPr="004D0E64">
        <w:rPr>
          <w:sz w:val="18"/>
          <w:szCs w:val="18"/>
        </w:rPr>
        <w:t xml:space="preserve">, </w:t>
      </w:r>
      <w:r>
        <w:rPr>
          <w:sz w:val="18"/>
          <w:szCs w:val="18"/>
          <w:lang w:val="mk-MK"/>
        </w:rPr>
        <w:t>вкупната неусогласеност достигнува</w:t>
      </w:r>
      <w:r w:rsidRPr="004D0E64">
        <w:rPr>
          <w:sz w:val="18"/>
          <w:szCs w:val="18"/>
        </w:rPr>
        <w:t xml:space="preserve"> 35</w:t>
      </w:r>
      <w:r>
        <w:rPr>
          <w:sz w:val="18"/>
          <w:szCs w:val="18"/>
        </w:rPr>
        <w:t>,</w:t>
      </w:r>
      <w:r w:rsidRPr="004D0E64">
        <w:rPr>
          <w:sz w:val="18"/>
          <w:szCs w:val="18"/>
        </w:rPr>
        <w:t xml:space="preserve">2 </w:t>
      </w:r>
      <w:r>
        <w:rPr>
          <w:sz w:val="18"/>
          <w:szCs w:val="18"/>
          <w:lang w:val="mk-MK"/>
        </w:rPr>
        <w:t>проценти од вкупната вработеност на младите лица.</w:t>
      </w:r>
      <w:r w:rsidRPr="004D0E64">
        <w:rPr>
          <w:sz w:val="18"/>
          <w:szCs w:val="18"/>
        </w:rPr>
        <w:t xml:space="preserve"> </w:t>
      </w:r>
    </w:p>
  </w:footnote>
  <w:footnote w:id="4">
    <w:p w:rsidR="008A3D6C" w:rsidRDefault="008A3D6C" w:rsidP="00EE1C76">
      <w:pPr>
        <w:pStyle w:val="FootnoteText"/>
      </w:pPr>
      <w:r>
        <w:rPr>
          <w:rStyle w:val="FootnoteReference"/>
        </w:rPr>
        <w:footnoteRef/>
      </w:r>
      <w:r>
        <w:t xml:space="preserve"> </w:t>
      </w:r>
      <w:r w:rsidRPr="0065508A">
        <w:rPr>
          <w:sz w:val="18"/>
          <w:szCs w:val="18"/>
          <w:lang w:val="mk-MK"/>
        </w:rPr>
        <w:t>Во истата година, уделот на младите лица на возраст од 15 до 29 години во пристојната работа претставувал 16 проценти од популацијата (во споредба со 15</w:t>
      </w:r>
      <w:r>
        <w:rPr>
          <w:sz w:val="18"/>
          <w:szCs w:val="18"/>
          <w:lang w:val="mk-MK"/>
        </w:rPr>
        <w:t>,</w:t>
      </w:r>
      <w:r w:rsidRPr="0065508A">
        <w:rPr>
          <w:sz w:val="18"/>
          <w:szCs w:val="18"/>
          <w:lang w:val="mk-MK"/>
        </w:rPr>
        <w:t>3 проценти во 2013 година).</w:t>
      </w:r>
      <w:r>
        <w:rPr>
          <w:sz w:val="18"/>
          <w:szCs w:val="18"/>
        </w:rPr>
        <w:t xml:space="preserve"> </w:t>
      </w:r>
    </w:p>
  </w:footnote>
  <w:footnote w:id="5">
    <w:p w:rsidR="008A3D6C" w:rsidRPr="000B4F0D" w:rsidRDefault="008A3D6C" w:rsidP="00EE1C76">
      <w:pPr>
        <w:jc w:val="both"/>
        <w:rPr>
          <w:rFonts w:ascii="Arial" w:hAnsi="Arial" w:cs="Arial"/>
          <w:sz w:val="18"/>
          <w:szCs w:val="18"/>
        </w:rPr>
      </w:pPr>
      <w:r w:rsidRPr="000B4F0D">
        <w:rPr>
          <w:rStyle w:val="FootnoteReference"/>
          <w:sz w:val="18"/>
          <w:szCs w:val="18"/>
        </w:rPr>
        <w:footnoteRef/>
      </w:r>
      <w:r w:rsidRPr="000B4F0D">
        <w:rPr>
          <w:sz w:val="18"/>
          <w:szCs w:val="18"/>
        </w:rPr>
        <w:t xml:space="preserve"> </w:t>
      </w:r>
      <w:r w:rsidRPr="000C29FD">
        <w:rPr>
          <w:sz w:val="18"/>
          <w:szCs w:val="18"/>
          <w:lang w:val="mk-MK"/>
        </w:rPr>
        <w:t>За примери за инфраструктурните проекти како мултипликатори на работните места, видете International Finance Corporation (IFC), Jobs study:</w:t>
      </w:r>
      <w:r w:rsidRPr="000B4F0D">
        <w:rPr>
          <w:i/>
          <w:iCs/>
          <w:sz w:val="18"/>
          <w:szCs w:val="18"/>
        </w:rPr>
        <w:t xml:space="preserve"> </w:t>
      </w:r>
      <w:r w:rsidRPr="000C29FD">
        <w:rPr>
          <w:i/>
          <w:iCs/>
          <w:sz w:val="18"/>
          <w:szCs w:val="18"/>
          <w:lang w:val="mk-MK"/>
        </w:rPr>
        <w:t>Assessing private sector contributions to job creation and poverty reduction</w:t>
      </w:r>
      <w:r w:rsidRPr="000C29FD">
        <w:rPr>
          <w:sz w:val="18"/>
          <w:szCs w:val="18"/>
          <w:lang w:val="mk-MK"/>
        </w:rPr>
        <w:t>, Washington D.C.</w:t>
      </w:r>
      <w:r>
        <w:rPr>
          <w:sz w:val="18"/>
          <w:szCs w:val="18"/>
        </w:rPr>
        <w:t xml:space="preserve"> </w:t>
      </w:r>
      <w:r w:rsidRPr="000B4F0D">
        <w:rPr>
          <w:sz w:val="18"/>
          <w:szCs w:val="18"/>
        </w:rPr>
        <w:t>2013</w:t>
      </w:r>
      <w:r>
        <w:rPr>
          <w:sz w:val="18"/>
          <w:szCs w:val="18"/>
        </w:rPr>
        <w:t>.</w:t>
      </w:r>
    </w:p>
    <w:p w:rsidR="008A3D6C" w:rsidRDefault="008A3D6C" w:rsidP="00EE1C76">
      <w:pPr>
        <w:jc w:val="both"/>
      </w:pPr>
    </w:p>
  </w:footnote>
  <w:footnote w:id="6">
    <w:p w:rsidR="008A3D6C" w:rsidRDefault="008A3D6C" w:rsidP="00EE1C76">
      <w:pPr>
        <w:pStyle w:val="FootnoteText"/>
      </w:pPr>
      <w:r w:rsidRPr="00A03935">
        <w:rPr>
          <w:rStyle w:val="FootnoteReference"/>
          <w:sz w:val="18"/>
          <w:szCs w:val="18"/>
        </w:rPr>
        <w:footnoteRef/>
      </w:r>
      <w:r w:rsidRPr="00A03935">
        <w:rPr>
          <w:sz w:val="18"/>
          <w:szCs w:val="18"/>
        </w:rPr>
        <w:t xml:space="preserve"> </w:t>
      </w:r>
      <w:r w:rsidRPr="000C29FD">
        <w:rPr>
          <w:sz w:val="18"/>
          <w:szCs w:val="18"/>
          <w:lang w:val="mk-MK"/>
        </w:rPr>
        <w:t xml:space="preserve">За целите на </w:t>
      </w:r>
      <w:r>
        <w:rPr>
          <w:sz w:val="18"/>
          <w:szCs w:val="18"/>
          <w:lang w:val="mk-MK"/>
        </w:rPr>
        <w:t>ослободувањето</w:t>
      </w:r>
      <w:r w:rsidRPr="000C29FD">
        <w:rPr>
          <w:sz w:val="18"/>
          <w:szCs w:val="18"/>
          <w:lang w:val="mk-MK"/>
        </w:rPr>
        <w:t xml:space="preserve"> што се предвидува во член 98 на </w:t>
      </w:r>
      <w:r w:rsidRPr="000C29FD">
        <w:rPr>
          <w:i/>
          <w:iCs/>
          <w:sz w:val="18"/>
          <w:szCs w:val="18"/>
          <w:lang w:val="mk-MK"/>
        </w:rPr>
        <w:t>Законот за вработување и осигурување во случај на невработеност</w:t>
      </w:r>
      <w:r w:rsidRPr="000C29FD">
        <w:rPr>
          <w:sz w:val="18"/>
          <w:szCs w:val="18"/>
          <w:lang w:val="mk-MK"/>
        </w:rPr>
        <w:t>, изразот „на возраст до 29 години“ значи сите лица што не наполниле 30 години до моментот на вработување.</w:t>
      </w:r>
      <w:r w:rsidRPr="00A03935">
        <w:rPr>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5631"/>
    <w:multiLevelType w:val="multilevel"/>
    <w:tmpl w:val="D6AABF02"/>
    <w:lvl w:ilvl="0">
      <w:start w:val="4"/>
      <w:numFmt w:val="decimal"/>
      <w:lvlText w:val="%1"/>
      <w:lvlJc w:val="left"/>
      <w:pPr>
        <w:ind w:left="420" w:hanging="420"/>
      </w:pPr>
      <w:rPr>
        <w:rFonts w:hint="default"/>
      </w:rPr>
    </w:lvl>
    <w:lvl w:ilvl="1">
      <w:start w:val="13"/>
      <w:numFmt w:val="decimal"/>
      <w:lvlText w:val="%1.%2"/>
      <w:lvlJc w:val="left"/>
      <w:pPr>
        <w:ind w:left="1140" w:hanging="4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E3D1F5D"/>
    <w:multiLevelType w:val="multilevel"/>
    <w:tmpl w:val="4E102FBE"/>
    <w:lvl w:ilvl="0">
      <w:start w:val="1"/>
      <w:numFmt w:val="decimal"/>
      <w:lvlText w:val="%1."/>
      <w:lvlJc w:val="left"/>
      <w:pPr>
        <w:ind w:left="720" w:hanging="360"/>
      </w:pPr>
    </w:lvl>
    <w:lvl w:ilvl="1">
      <w:start w:val="4"/>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491B4325"/>
    <w:multiLevelType w:val="multilevel"/>
    <w:tmpl w:val="A5A8B3DC"/>
    <w:lvl w:ilvl="0">
      <w:start w:val="1"/>
      <w:numFmt w:val="decimal"/>
      <w:lvlText w:val="%1."/>
      <w:lvlJc w:val="left"/>
      <w:pPr>
        <w:tabs>
          <w:tab w:val="num" w:pos="720"/>
        </w:tabs>
        <w:ind w:left="720" w:hanging="360"/>
      </w:pPr>
    </w:lvl>
    <w:lvl w:ilvl="1">
      <w:start w:val="1"/>
      <w:numFmt w:val="decimal"/>
      <w:isLgl/>
      <w:lvlText w:val="%1.%2"/>
      <w:lvlJc w:val="left"/>
      <w:pPr>
        <w:ind w:left="1637" w:hanging="360"/>
      </w:pPr>
      <w:rPr>
        <w:rFonts w:hint="default"/>
      </w:rPr>
    </w:lvl>
    <w:lvl w:ilvl="2">
      <w:start w:val="1"/>
      <w:numFmt w:val="decimalZero"/>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
    <w:nsid w:val="5CB13F9D"/>
    <w:multiLevelType w:val="multilevel"/>
    <w:tmpl w:val="4FA0201E"/>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6D55929"/>
    <w:multiLevelType w:val="hybridMultilevel"/>
    <w:tmpl w:val="1B586782"/>
    <w:lvl w:ilvl="0" w:tplc="0410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6A6F7D52"/>
    <w:multiLevelType w:val="multilevel"/>
    <w:tmpl w:val="01AA154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191"/>
    <w:rsid w:val="000004F8"/>
    <w:rsid w:val="00001918"/>
    <w:rsid w:val="00001F74"/>
    <w:rsid w:val="000029F3"/>
    <w:rsid w:val="000035A2"/>
    <w:rsid w:val="00003DBB"/>
    <w:rsid w:val="00004ABF"/>
    <w:rsid w:val="00004C8A"/>
    <w:rsid w:val="00006254"/>
    <w:rsid w:val="00007326"/>
    <w:rsid w:val="00020E40"/>
    <w:rsid w:val="00020F6C"/>
    <w:rsid w:val="0002278E"/>
    <w:rsid w:val="00024B84"/>
    <w:rsid w:val="00025000"/>
    <w:rsid w:val="00025537"/>
    <w:rsid w:val="000344BC"/>
    <w:rsid w:val="00034C59"/>
    <w:rsid w:val="000378E7"/>
    <w:rsid w:val="00042BC0"/>
    <w:rsid w:val="00043F8C"/>
    <w:rsid w:val="00044373"/>
    <w:rsid w:val="0004798E"/>
    <w:rsid w:val="0005236A"/>
    <w:rsid w:val="00053679"/>
    <w:rsid w:val="00054246"/>
    <w:rsid w:val="00056CEE"/>
    <w:rsid w:val="0005797F"/>
    <w:rsid w:val="00057CE2"/>
    <w:rsid w:val="00062DE0"/>
    <w:rsid w:val="00063228"/>
    <w:rsid w:val="00064045"/>
    <w:rsid w:val="00066A75"/>
    <w:rsid w:val="0007356F"/>
    <w:rsid w:val="00076425"/>
    <w:rsid w:val="00076B2C"/>
    <w:rsid w:val="00077F8F"/>
    <w:rsid w:val="00080E2E"/>
    <w:rsid w:val="0008312A"/>
    <w:rsid w:val="00091AC4"/>
    <w:rsid w:val="0009348D"/>
    <w:rsid w:val="000939D4"/>
    <w:rsid w:val="0009447C"/>
    <w:rsid w:val="00095B97"/>
    <w:rsid w:val="00097912"/>
    <w:rsid w:val="00097A7F"/>
    <w:rsid w:val="000A1682"/>
    <w:rsid w:val="000A255F"/>
    <w:rsid w:val="000A32A2"/>
    <w:rsid w:val="000A4A3D"/>
    <w:rsid w:val="000B13D3"/>
    <w:rsid w:val="000B4F0D"/>
    <w:rsid w:val="000B5264"/>
    <w:rsid w:val="000B59EB"/>
    <w:rsid w:val="000C1E01"/>
    <w:rsid w:val="000C29FD"/>
    <w:rsid w:val="000C2B5A"/>
    <w:rsid w:val="000C489F"/>
    <w:rsid w:val="000C69B0"/>
    <w:rsid w:val="000D24A7"/>
    <w:rsid w:val="000D3B12"/>
    <w:rsid w:val="000D3B72"/>
    <w:rsid w:val="000D4838"/>
    <w:rsid w:val="000D5898"/>
    <w:rsid w:val="000E05AD"/>
    <w:rsid w:val="000E4261"/>
    <w:rsid w:val="000E4691"/>
    <w:rsid w:val="000E5003"/>
    <w:rsid w:val="000E5BDD"/>
    <w:rsid w:val="000E7401"/>
    <w:rsid w:val="000F08E9"/>
    <w:rsid w:val="000F150A"/>
    <w:rsid w:val="000F160D"/>
    <w:rsid w:val="000F5F44"/>
    <w:rsid w:val="000F5F87"/>
    <w:rsid w:val="000F7773"/>
    <w:rsid w:val="000F7FF1"/>
    <w:rsid w:val="00101A46"/>
    <w:rsid w:val="0010316D"/>
    <w:rsid w:val="001034E1"/>
    <w:rsid w:val="00104C33"/>
    <w:rsid w:val="00105AEC"/>
    <w:rsid w:val="00105DAA"/>
    <w:rsid w:val="00106D04"/>
    <w:rsid w:val="00110DFC"/>
    <w:rsid w:val="0011242B"/>
    <w:rsid w:val="0011346B"/>
    <w:rsid w:val="00114DE6"/>
    <w:rsid w:val="00115583"/>
    <w:rsid w:val="00116C3C"/>
    <w:rsid w:val="00116DC7"/>
    <w:rsid w:val="001179CC"/>
    <w:rsid w:val="0012094C"/>
    <w:rsid w:val="001209EA"/>
    <w:rsid w:val="00121F0B"/>
    <w:rsid w:val="00122BC4"/>
    <w:rsid w:val="00123BA4"/>
    <w:rsid w:val="001247D8"/>
    <w:rsid w:val="001268C9"/>
    <w:rsid w:val="00131875"/>
    <w:rsid w:val="00133A0A"/>
    <w:rsid w:val="00133EBB"/>
    <w:rsid w:val="00133FCF"/>
    <w:rsid w:val="001352C9"/>
    <w:rsid w:val="0013664C"/>
    <w:rsid w:val="00141318"/>
    <w:rsid w:val="00147EF5"/>
    <w:rsid w:val="00150751"/>
    <w:rsid w:val="001522ED"/>
    <w:rsid w:val="001530B7"/>
    <w:rsid w:val="001549A2"/>
    <w:rsid w:val="00154D1E"/>
    <w:rsid w:val="001554B7"/>
    <w:rsid w:val="00161DFC"/>
    <w:rsid w:val="00163C48"/>
    <w:rsid w:val="001642A3"/>
    <w:rsid w:val="001663A3"/>
    <w:rsid w:val="00167D4F"/>
    <w:rsid w:val="0017139D"/>
    <w:rsid w:val="00172833"/>
    <w:rsid w:val="00172C45"/>
    <w:rsid w:val="0017574F"/>
    <w:rsid w:val="00181A81"/>
    <w:rsid w:val="00182E1D"/>
    <w:rsid w:val="00183B02"/>
    <w:rsid w:val="00187333"/>
    <w:rsid w:val="00190E7A"/>
    <w:rsid w:val="0019206C"/>
    <w:rsid w:val="00192637"/>
    <w:rsid w:val="00196C7D"/>
    <w:rsid w:val="00197D42"/>
    <w:rsid w:val="001A192F"/>
    <w:rsid w:val="001A239C"/>
    <w:rsid w:val="001A2474"/>
    <w:rsid w:val="001A2F06"/>
    <w:rsid w:val="001A34E8"/>
    <w:rsid w:val="001A45F8"/>
    <w:rsid w:val="001A48D6"/>
    <w:rsid w:val="001A677F"/>
    <w:rsid w:val="001A773B"/>
    <w:rsid w:val="001B122D"/>
    <w:rsid w:val="001B2225"/>
    <w:rsid w:val="001C2F40"/>
    <w:rsid w:val="001C3125"/>
    <w:rsid w:val="001C3AD2"/>
    <w:rsid w:val="001D0100"/>
    <w:rsid w:val="001D0A4D"/>
    <w:rsid w:val="001D3BA8"/>
    <w:rsid w:val="001D68B2"/>
    <w:rsid w:val="001E51D2"/>
    <w:rsid w:val="001F2723"/>
    <w:rsid w:val="001F2C23"/>
    <w:rsid w:val="001F2D96"/>
    <w:rsid w:val="001F33C0"/>
    <w:rsid w:val="002031CB"/>
    <w:rsid w:val="00204F05"/>
    <w:rsid w:val="0020546C"/>
    <w:rsid w:val="00206439"/>
    <w:rsid w:val="00207EBD"/>
    <w:rsid w:val="00211C9E"/>
    <w:rsid w:val="00213A27"/>
    <w:rsid w:val="002169BF"/>
    <w:rsid w:val="00217882"/>
    <w:rsid w:val="00222FA4"/>
    <w:rsid w:val="00224D67"/>
    <w:rsid w:val="0022521A"/>
    <w:rsid w:val="002255F4"/>
    <w:rsid w:val="00225983"/>
    <w:rsid w:val="0022786E"/>
    <w:rsid w:val="00227E2F"/>
    <w:rsid w:val="00230AD0"/>
    <w:rsid w:val="00233033"/>
    <w:rsid w:val="00234EC1"/>
    <w:rsid w:val="00241AF3"/>
    <w:rsid w:val="00241B64"/>
    <w:rsid w:val="0024377B"/>
    <w:rsid w:val="0024482C"/>
    <w:rsid w:val="00245989"/>
    <w:rsid w:val="00246605"/>
    <w:rsid w:val="0024749A"/>
    <w:rsid w:val="002508A3"/>
    <w:rsid w:val="00251479"/>
    <w:rsid w:val="00251B46"/>
    <w:rsid w:val="0025341E"/>
    <w:rsid w:val="00254A77"/>
    <w:rsid w:val="00257832"/>
    <w:rsid w:val="0026049D"/>
    <w:rsid w:val="0026171C"/>
    <w:rsid w:val="002627BA"/>
    <w:rsid w:val="00264053"/>
    <w:rsid w:val="002645B6"/>
    <w:rsid w:val="00264A15"/>
    <w:rsid w:val="00265149"/>
    <w:rsid w:val="00265961"/>
    <w:rsid w:val="00266F8E"/>
    <w:rsid w:val="00271506"/>
    <w:rsid w:val="00271B83"/>
    <w:rsid w:val="00272B95"/>
    <w:rsid w:val="00274990"/>
    <w:rsid w:val="00276DAD"/>
    <w:rsid w:val="00277A82"/>
    <w:rsid w:val="00281347"/>
    <w:rsid w:val="0028242C"/>
    <w:rsid w:val="00282EE6"/>
    <w:rsid w:val="002836E4"/>
    <w:rsid w:val="00285755"/>
    <w:rsid w:val="00286300"/>
    <w:rsid w:val="0028666A"/>
    <w:rsid w:val="00287D49"/>
    <w:rsid w:val="0029016F"/>
    <w:rsid w:val="00290D1F"/>
    <w:rsid w:val="00291792"/>
    <w:rsid w:val="00292D1D"/>
    <w:rsid w:val="0029448C"/>
    <w:rsid w:val="00294C3D"/>
    <w:rsid w:val="002970C9"/>
    <w:rsid w:val="002A18C5"/>
    <w:rsid w:val="002A22B8"/>
    <w:rsid w:val="002A3D09"/>
    <w:rsid w:val="002A7B30"/>
    <w:rsid w:val="002B0893"/>
    <w:rsid w:val="002B332F"/>
    <w:rsid w:val="002B37EF"/>
    <w:rsid w:val="002B426C"/>
    <w:rsid w:val="002B4DE6"/>
    <w:rsid w:val="002B75C3"/>
    <w:rsid w:val="002B7A14"/>
    <w:rsid w:val="002C01BD"/>
    <w:rsid w:val="002C3099"/>
    <w:rsid w:val="002D04EC"/>
    <w:rsid w:val="002D0BAB"/>
    <w:rsid w:val="002D1197"/>
    <w:rsid w:val="002D1BA9"/>
    <w:rsid w:val="002D24B4"/>
    <w:rsid w:val="002D3BFB"/>
    <w:rsid w:val="002D7ADF"/>
    <w:rsid w:val="002E7D48"/>
    <w:rsid w:val="002F229D"/>
    <w:rsid w:val="002F27CF"/>
    <w:rsid w:val="002F2C84"/>
    <w:rsid w:val="00300FA7"/>
    <w:rsid w:val="003018BF"/>
    <w:rsid w:val="00302508"/>
    <w:rsid w:val="00302AD2"/>
    <w:rsid w:val="0030504F"/>
    <w:rsid w:val="003057F0"/>
    <w:rsid w:val="003112AD"/>
    <w:rsid w:val="00315392"/>
    <w:rsid w:val="003234D9"/>
    <w:rsid w:val="00323E43"/>
    <w:rsid w:val="003269B3"/>
    <w:rsid w:val="00326D11"/>
    <w:rsid w:val="003301C0"/>
    <w:rsid w:val="00331E31"/>
    <w:rsid w:val="00335219"/>
    <w:rsid w:val="00335AE8"/>
    <w:rsid w:val="003364DE"/>
    <w:rsid w:val="0033697C"/>
    <w:rsid w:val="00340C10"/>
    <w:rsid w:val="0034210A"/>
    <w:rsid w:val="0034485A"/>
    <w:rsid w:val="0034529F"/>
    <w:rsid w:val="00351C7A"/>
    <w:rsid w:val="00354DE5"/>
    <w:rsid w:val="00357474"/>
    <w:rsid w:val="00357D53"/>
    <w:rsid w:val="003616F6"/>
    <w:rsid w:val="00370931"/>
    <w:rsid w:val="00375E33"/>
    <w:rsid w:val="003774C4"/>
    <w:rsid w:val="00383F55"/>
    <w:rsid w:val="003864DE"/>
    <w:rsid w:val="00391E12"/>
    <w:rsid w:val="0039279F"/>
    <w:rsid w:val="00394DEE"/>
    <w:rsid w:val="0039517B"/>
    <w:rsid w:val="0039530E"/>
    <w:rsid w:val="003A1B2D"/>
    <w:rsid w:val="003A2415"/>
    <w:rsid w:val="003A33B4"/>
    <w:rsid w:val="003A58F5"/>
    <w:rsid w:val="003A7422"/>
    <w:rsid w:val="003B0C87"/>
    <w:rsid w:val="003B35E6"/>
    <w:rsid w:val="003B428B"/>
    <w:rsid w:val="003C22A0"/>
    <w:rsid w:val="003C5F87"/>
    <w:rsid w:val="003C6C28"/>
    <w:rsid w:val="003C7174"/>
    <w:rsid w:val="003D031D"/>
    <w:rsid w:val="003D2035"/>
    <w:rsid w:val="003D50FC"/>
    <w:rsid w:val="003D5578"/>
    <w:rsid w:val="003D7995"/>
    <w:rsid w:val="003E750F"/>
    <w:rsid w:val="003F02A1"/>
    <w:rsid w:val="003F0ABA"/>
    <w:rsid w:val="003F0F87"/>
    <w:rsid w:val="003F223D"/>
    <w:rsid w:val="003F30C2"/>
    <w:rsid w:val="003F57AC"/>
    <w:rsid w:val="00402BFF"/>
    <w:rsid w:val="00403537"/>
    <w:rsid w:val="0040550F"/>
    <w:rsid w:val="00412190"/>
    <w:rsid w:val="00412975"/>
    <w:rsid w:val="004140F5"/>
    <w:rsid w:val="00415521"/>
    <w:rsid w:val="004173D2"/>
    <w:rsid w:val="00422DDD"/>
    <w:rsid w:val="004321F7"/>
    <w:rsid w:val="0043233D"/>
    <w:rsid w:val="004323A9"/>
    <w:rsid w:val="00433045"/>
    <w:rsid w:val="00433A15"/>
    <w:rsid w:val="00437D65"/>
    <w:rsid w:val="00444C1D"/>
    <w:rsid w:val="00446E2B"/>
    <w:rsid w:val="00451A9E"/>
    <w:rsid w:val="00455ACA"/>
    <w:rsid w:val="004625DD"/>
    <w:rsid w:val="00465730"/>
    <w:rsid w:val="00467462"/>
    <w:rsid w:val="00471103"/>
    <w:rsid w:val="0047276C"/>
    <w:rsid w:val="00483464"/>
    <w:rsid w:val="0048456C"/>
    <w:rsid w:val="0048623A"/>
    <w:rsid w:val="00487A7E"/>
    <w:rsid w:val="0049286B"/>
    <w:rsid w:val="004952AC"/>
    <w:rsid w:val="00496596"/>
    <w:rsid w:val="00497B8A"/>
    <w:rsid w:val="004A0B8C"/>
    <w:rsid w:val="004A3C38"/>
    <w:rsid w:val="004A689B"/>
    <w:rsid w:val="004B1EE3"/>
    <w:rsid w:val="004B3A85"/>
    <w:rsid w:val="004B5558"/>
    <w:rsid w:val="004B55B6"/>
    <w:rsid w:val="004B5F60"/>
    <w:rsid w:val="004B6945"/>
    <w:rsid w:val="004B6AED"/>
    <w:rsid w:val="004C0A4C"/>
    <w:rsid w:val="004C4059"/>
    <w:rsid w:val="004C452A"/>
    <w:rsid w:val="004D0E64"/>
    <w:rsid w:val="004D24C2"/>
    <w:rsid w:val="004E2460"/>
    <w:rsid w:val="004E29C9"/>
    <w:rsid w:val="004E2F1D"/>
    <w:rsid w:val="004E31AF"/>
    <w:rsid w:val="004E46D2"/>
    <w:rsid w:val="004E4ECE"/>
    <w:rsid w:val="004E7DC8"/>
    <w:rsid w:val="004F28A9"/>
    <w:rsid w:val="004F34B2"/>
    <w:rsid w:val="004F3BFA"/>
    <w:rsid w:val="004F6449"/>
    <w:rsid w:val="004F7A7C"/>
    <w:rsid w:val="00504A58"/>
    <w:rsid w:val="00506801"/>
    <w:rsid w:val="00514B34"/>
    <w:rsid w:val="00515664"/>
    <w:rsid w:val="0052148E"/>
    <w:rsid w:val="00522C23"/>
    <w:rsid w:val="005243EA"/>
    <w:rsid w:val="00525C98"/>
    <w:rsid w:val="00526032"/>
    <w:rsid w:val="00533EA3"/>
    <w:rsid w:val="00534248"/>
    <w:rsid w:val="00536703"/>
    <w:rsid w:val="00540EB2"/>
    <w:rsid w:val="00545367"/>
    <w:rsid w:val="00545A87"/>
    <w:rsid w:val="00547ED8"/>
    <w:rsid w:val="00550A81"/>
    <w:rsid w:val="00552CD1"/>
    <w:rsid w:val="0055548D"/>
    <w:rsid w:val="00555CE1"/>
    <w:rsid w:val="00556292"/>
    <w:rsid w:val="00564B3B"/>
    <w:rsid w:val="00566048"/>
    <w:rsid w:val="005663AE"/>
    <w:rsid w:val="0057055B"/>
    <w:rsid w:val="005771C0"/>
    <w:rsid w:val="00577E58"/>
    <w:rsid w:val="00580B32"/>
    <w:rsid w:val="00583558"/>
    <w:rsid w:val="00585E1C"/>
    <w:rsid w:val="00586348"/>
    <w:rsid w:val="0059078C"/>
    <w:rsid w:val="0059286B"/>
    <w:rsid w:val="005932D3"/>
    <w:rsid w:val="005A073B"/>
    <w:rsid w:val="005A0B87"/>
    <w:rsid w:val="005A1705"/>
    <w:rsid w:val="005A2991"/>
    <w:rsid w:val="005B49D2"/>
    <w:rsid w:val="005B57F6"/>
    <w:rsid w:val="005B67D1"/>
    <w:rsid w:val="005B7777"/>
    <w:rsid w:val="005C17E5"/>
    <w:rsid w:val="005C41B2"/>
    <w:rsid w:val="005C4569"/>
    <w:rsid w:val="005C7877"/>
    <w:rsid w:val="005D4859"/>
    <w:rsid w:val="005D5D8E"/>
    <w:rsid w:val="005D7B77"/>
    <w:rsid w:val="005E043B"/>
    <w:rsid w:val="005E1623"/>
    <w:rsid w:val="005E3722"/>
    <w:rsid w:val="005E38D3"/>
    <w:rsid w:val="005E3D87"/>
    <w:rsid w:val="005E4921"/>
    <w:rsid w:val="005E7087"/>
    <w:rsid w:val="005F750A"/>
    <w:rsid w:val="005F7670"/>
    <w:rsid w:val="00607449"/>
    <w:rsid w:val="00607907"/>
    <w:rsid w:val="00610181"/>
    <w:rsid w:val="00612E10"/>
    <w:rsid w:val="00613520"/>
    <w:rsid w:val="00614E7B"/>
    <w:rsid w:val="00616DB0"/>
    <w:rsid w:val="00617E52"/>
    <w:rsid w:val="00621AB3"/>
    <w:rsid w:val="00623C98"/>
    <w:rsid w:val="00624307"/>
    <w:rsid w:val="00626C17"/>
    <w:rsid w:val="00630C52"/>
    <w:rsid w:val="00630DF3"/>
    <w:rsid w:val="00631991"/>
    <w:rsid w:val="006337BA"/>
    <w:rsid w:val="006413F3"/>
    <w:rsid w:val="006421D5"/>
    <w:rsid w:val="006423C6"/>
    <w:rsid w:val="00643A08"/>
    <w:rsid w:val="00645E93"/>
    <w:rsid w:val="0064707E"/>
    <w:rsid w:val="006525A2"/>
    <w:rsid w:val="00652BDA"/>
    <w:rsid w:val="00653D06"/>
    <w:rsid w:val="0065508A"/>
    <w:rsid w:val="00655493"/>
    <w:rsid w:val="00655842"/>
    <w:rsid w:val="00656052"/>
    <w:rsid w:val="006564C6"/>
    <w:rsid w:val="00656A1C"/>
    <w:rsid w:val="006649DD"/>
    <w:rsid w:val="0067105B"/>
    <w:rsid w:val="00671633"/>
    <w:rsid w:val="0067506F"/>
    <w:rsid w:val="00677B1F"/>
    <w:rsid w:val="006824BC"/>
    <w:rsid w:val="00683561"/>
    <w:rsid w:val="00687423"/>
    <w:rsid w:val="00690516"/>
    <w:rsid w:val="00692CE6"/>
    <w:rsid w:val="006977B2"/>
    <w:rsid w:val="006A29BB"/>
    <w:rsid w:val="006A48F0"/>
    <w:rsid w:val="006A58D0"/>
    <w:rsid w:val="006B025B"/>
    <w:rsid w:val="006B079E"/>
    <w:rsid w:val="006B1F99"/>
    <w:rsid w:val="006B20F8"/>
    <w:rsid w:val="006B6266"/>
    <w:rsid w:val="006C1169"/>
    <w:rsid w:val="006C5560"/>
    <w:rsid w:val="006C5966"/>
    <w:rsid w:val="006C664C"/>
    <w:rsid w:val="006C76CF"/>
    <w:rsid w:val="006D188D"/>
    <w:rsid w:val="006D3D2A"/>
    <w:rsid w:val="006D3FE7"/>
    <w:rsid w:val="006D456E"/>
    <w:rsid w:val="006D5360"/>
    <w:rsid w:val="006D5D8E"/>
    <w:rsid w:val="006D6636"/>
    <w:rsid w:val="006E3319"/>
    <w:rsid w:val="006E363A"/>
    <w:rsid w:val="006E4501"/>
    <w:rsid w:val="006E46CF"/>
    <w:rsid w:val="006E7F94"/>
    <w:rsid w:val="006F3533"/>
    <w:rsid w:val="006F47F6"/>
    <w:rsid w:val="006F4A97"/>
    <w:rsid w:val="006F69BF"/>
    <w:rsid w:val="007001F2"/>
    <w:rsid w:val="00701C4E"/>
    <w:rsid w:val="00701D24"/>
    <w:rsid w:val="00702080"/>
    <w:rsid w:val="00703B13"/>
    <w:rsid w:val="00703C54"/>
    <w:rsid w:val="00704322"/>
    <w:rsid w:val="00704398"/>
    <w:rsid w:val="007043E7"/>
    <w:rsid w:val="007064E7"/>
    <w:rsid w:val="00707A98"/>
    <w:rsid w:val="007103B4"/>
    <w:rsid w:val="00712769"/>
    <w:rsid w:val="007151C8"/>
    <w:rsid w:val="00716709"/>
    <w:rsid w:val="0072222D"/>
    <w:rsid w:val="00722EE1"/>
    <w:rsid w:val="00724268"/>
    <w:rsid w:val="00725FD7"/>
    <w:rsid w:val="00726758"/>
    <w:rsid w:val="00726B23"/>
    <w:rsid w:val="007308D5"/>
    <w:rsid w:val="00734278"/>
    <w:rsid w:val="00735CF2"/>
    <w:rsid w:val="00735EDE"/>
    <w:rsid w:val="00736D98"/>
    <w:rsid w:val="00736E4C"/>
    <w:rsid w:val="007406B1"/>
    <w:rsid w:val="007409F0"/>
    <w:rsid w:val="007439A6"/>
    <w:rsid w:val="00753717"/>
    <w:rsid w:val="007548A0"/>
    <w:rsid w:val="007556C5"/>
    <w:rsid w:val="00756919"/>
    <w:rsid w:val="0075793C"/>
    <w:rsid w:val="0076052D"/>
    <w:rsid w:val="00761DF5"/>
    <w:rsid w:val="00761F1B"/>
    <w:rsid w:val="00763928"/>
    <w:rsid w:val="00765C06"/>
    <w:rsid w:val="0076679F"/>
    <w:rsid w:val="007720A7"/>
    <w:rsid w:val="00772BAC"/>
    <w:rsid w:val="00775839"/>
    <w:rsid w:val="00777296"/>
    <w:rsid w:val="00784A9A"/>
    <w:rsid w:val="00784D33"/>
    <w:rsid w:val="0078568F"/>
    <w:rsid w:val="00786A84"/>
    <w:rsid w:val="007907C6"/>
    <w:rsid w:val="00792449"/>
    <w:rsid w:val="00792CB5"/>
    <w:rsid w:val="00796884"/>
    <w:rsid w:val="00797974"/>
    <w:rsid w:val="007A17F6"/>
    <w:rsid w:val="007A4591"/>
    <w:rsid w:val="007A49F9"/>
    <w:rsid w:val="007A531E"/>
    <w:rsid w:val="007A7FE3"/>
    <w:rsid w:val="007B0DCC"/>
    <w:rsid w:val="007B20FE"/>
    <w:rsid w:val="007B24AA"/>
    <w:rsid w:val="007B3CE9"/>
    <w:rsid w:val="007B55C4"/>
    <w:rsid w:val="007B71DB"/>
    <w:rsid w:val="007C09AC"/>
    <w:rsid w:val="007C729D"/>
    <w:rsid w:val="007C77AC"/>
    <w:rsid w:val="007D7801"/>
    <w:rsid w:val="007E023C"/>
    <w:rsid w:val="007E1AD0"/>
    <w:rsid w:val="007E2F29"/>
    <w:rsid w:val="007E6698"/>
    <w:rsid w:val="007E7776"/>
    <w:rsid w:val="007F2DF2"/>
    <w:rsid w:val="007F3E14"/>
    <w:rsid w:val="007F4045"/>
    <w:rsid w:val="007F6D55"/>
    <w:rsid w:val="007F753C"/>
    <w:rsid w:val="007F773F"/>
    <w:rsid w:val="008032A3"/>
    <w:rsid w:val="00804882"/>
    <w:rsid w:val="00805824"/>
    <w:rsid w:val="008061A8"/>
    <w:rsid w:val="008108B6"/>
    <w:rsid w:val="008118B6"/>
    <w:rsid w:val="00813764"/>
    <w:rsid w:val="00815E8B"/>
    <w:rsid w:val="00816079"/>
    <w:rsid w:val="00816AD3"/>
    <w:rsid w:val="00817AEC"/>
    <w:rsid w:val="00821398"/>
    <w:rsid w:val="008275FD"/>
    <w:rsid w:val="00830FDE"/>
    <w:rsid w:val="00834A9F"/>
    <w:rsid w:val="00837AC9"/>
    <w:rsid w:val="00837B13"/>
    <w:rsid w:val="00841FC7"/>
    <w:rsid w:val="008444E4"/>
    <w:rsid w:val="00846B0F"/>
    <w:rsid w:val="00847B6D"/>
    <w:rsid w:val="0085250E"/>
    <w:rsid w:val="00854880"/>
    <w:rsid w:val="0085701E"/>
    <w:rsid w:val="00857480"/>
    <w:rsid w:val="0085749D"/>
    <w:rsid w:val="0086108E"/>
    <w:rsid w:val="00861BE3"/>
    <w:rsid w:val="00865F8E"/>
    <w:rsid w:val="008669CC"/>
    <w:rsid w:val="00867094"/>
    <w:rsid w:val="0087051F"/>
    <w:rsid w:val="00871F93"/>
    <w:rsid w:val="008721BA"/>
    <w:rsid w:val="00873982"/>
    <w:rsid w:val="0088044F"/>
    <w:rsid w:val="00880A19"/>
    <w:rsid w:val="00882457"/>
    <w:rsid w:val="00884898"/>
    <w:rsid w:val="008849C6"/>
    <w:rsid w:val="008864B7"/>
    <w:rsid w:val="0089776D"/>
    <w:rsid w:val="008A3D6C"/>
    <w:rsid w:val="008A5C90"/>
    <w:rsid w:val="008A5DCD"/>
    <w:rsid w:val="008B01E0"/>
    <w:rsid w:val="008B23EE"/>
    <w:rsid w:val="008B6281"/>
    <w:rsid w:val="008C0180"/>
    <w:rsid w:val="008C02BA"/>
    <w:rsid w:val="008C0814"/>
    <w:rsid w:val="008C1531"/>
    <w:rsid w:val="008C47EE"/>
    <w:rsid w:val="008D5540"/>
    <w:rsid w:val="008D6F56"/>
    <w:rsid w:val="008D70D2"/>
    <w:rsid w:val="008E049D"/>
    <w:rsid w:val="008E0C58"/>
    <w:rsid w:val="008E3FDC"/>
    <w:rsid w:val="008E4159"/>
    <w:rsid w:val="008E454E"/>
    <w:rsid w:val="008E57CB"/>
    <w:rsid w:val="008E6772"/>
    <w:rsid w:val="008F1555"/>
    <w:rsid w:val="008F23FF"/>
    <w:rsid w:val="008F37D9"/>
    <w:rsid w:val="008F4363"/>
    <w:rsid w:val="008F68AA"/>
    <w:rsid w:val="008F7431"/>
    <w:rsid w:val="00900038"/>
    <w:rsid w:val="00901CC7"/>
    <w:rsid w:val="0090257A"/>
    <w:rsid w:val="00904DC6"/>
    <w:rsid w:val="00905184"/>
    <w:rsid w:val="0090563F"/>
    <w:rsid w:val="0090626E"/>
    <w:rsid w:val="00906518"/>
    <w:rsid w:val="009126B1"/>
    <w:rsid w:val="009141C6"/>
    <w:rsid w:val="00917D38"/>
    <w:rsid w:val="0092335E"/>
    <w:rsid w:val="0092530E"/>
    <w:rsid w:val="00931A83"/>
    <w:rsid w:val="009321C4"/>
    <w:rsid w:val="00935080"/>
    <w:rsid w:val="00935BBA"/>
    <w:rsid w:val="00935FAE"/>
    <w:rsid w:val="00940990"/>
    <w:rsid w:val="00940BFE"/>
    <w:rsid w:val="00940C49"/>
    <w:rsid w:val="00940EC1"/>
    <w:rsid w:val="00944454"/>
    <w:rsid w:val="00944DF2"/>
    <w:rsid w:val="00945369"/>
    <w:rsid w:val="00952130"/>
    <w:rsid w:val="009627D8"/>
    <w:rsid w:val="0096794E"/>
    <w:rsid w:val="00971DD6"/>
    <w:rsid w:val="00972DF6"/>
    <w:rsid w:val="00974349"/>
    <w:rsid w:val="00974F9C"/>
    <w:rsid w:val="00975B47"/>
    <w:rsid w:val="009766C2"/>
    <w:rsid w:val="00982286"/>
    <w:rsid w:val="0098416E"/>
    <w:rsid w:val="009867FB"/>
    <w:rsid w:val="00986C9D"/>
    <w:rsid w:val="00990828"/>
    <w:rsid w:val="00991D6D"/>
    <w:rsid w:val="009928C4"/>
    <w:rsid w:val="00995DE4"/>
    <w:rsid w:val="009A23F7"/>
    <w:rsid w:val="009A2D40"/>
    <w:rsid w:val="009A33BA"/>
    <w:rsid w:val="009A5ACF"/>
    <w:rsid w:val="009A5EB1"/>
    <w:rsid w:val="009B0EA5"/>
    <w:rsid w:val="009B1D12"/>
    <w:rsid w:val="009B2969"/>
    <w:rsid w:val="009B2E35"/>
    <w:rsid w:val="009B3430"/>
    <w:rsid w:val="009B3D16"/>
    <w:rsid w:val="009B3EA3"/>
    <w:rsid w:val="009B3F26"/>
    <w:rsid w:val="009B41B8"/>
    <w:rsid w:val="009B791B"/>
    <w:rsid w:val="009C25DF"/>
    <w:rsid w:val="009C5E16"/>
    <w:rsid w:val="009D2BE5"/>
    <w:rsid w:val="009D2D35"/>
    <w:rsid w:val="009D445B"/>
    <w:rsid w:val="009D5988"/>
    <w:rsid w:val="009D6504"/>
    <w:rsid w:val="009D7E22"/>
    <w:rsid w:val="009E2A9E"/>
    <w:rsid w:val="009E3C48"/>
    <w:rsid w:val="009E5C61"/>
    <w:rsid w:val="009E6A27"/>
    <w:rsid w:val="009F022B"/>
    <w:rsid w:val="009F4240"/>
    <w:rsid w:val="009F44D1"/>
    <w:rsid w:val="009F669B"/>
    <w:rsid w:val="009F68AF"/>
    <w:rsid w:val="009F7BEB"/>
    <w:rsid w:val="00A02DAF"/>
    <w:rsid w:val="00A03935"/>
    <w:rsid w:val="00A0481D"/>
    <w:rsid w:val="00A05322"/>
    <w:rsid w:val="00A05DB0"/>
    <w:rsid w:val="00A0696D"/>
    <w:rsid w:val="00A07FBE"/>
    <w:rsid w:val="00A10410"/>
    <w:rsid w:val="00A136A1"/>
    <w:rsid w:val="00A15A85"/>
    <w:rsid w:val="00A16F28"/>
    <w:rsid w:val="00A17A10"/>
    <w:rsid w:val="00A22003"/>
    <w:rsid w:val="00A23556"/>
    <w:rsid w:val="00A24D13"/>
    <w:rsid w:val="00A25A8B"/>
    <w:rsid w:val="00A320DC"/>
    <w:rsid w:val="00A32723"/>
    <w:rsid w:val="00A32C39"/>
    <w:rsid w:val="00A32C3C"/>
    <w:rsid w:val="00A357DB"/>
    <w:rsid w:val="00A37675"/>
    <w:rsid w:val="00A37CD0"/>
    <w:rsid w:val="00A42324"/>
    <w:rsid w:val="00A44294"/>
    <w:rsid w:val="00A444D4"/>
    <w:rsid w:val="00A4493A"/>
    <w:rsid w:val="00A51841"/>
    <w:rsid w:val="00A51FB4"/>
    <w:rsid w:val="00A52328"/>
    <w:rsid w:val="00A525FF"/>
    <w:rsid w:val="00A526B6"/>
    <w:rsid w:val="00A5518B"/>
    <w:rsid w:val="00A5641D"/>
    <w:rsid w:val="00A61244"/>
    <w:rsid w:val="00A63B48"/>
    <w:rsid w:val="00A63DE6"/>
    <w:rsid w:val="00A702FB"/>
    <w:rsid w:val="00A710C3"/>
    <w:rsid w:val="00A727CD"/>
    <w:rsid w:val="00A74D38"/>
    <w:rsid w:val="00A76274"/>
    <w:rsid w:val="00A812B9"/>
    <w:rsid w:val="00A85587"/>
    <w:rsid w:val="00A85619"/>
    <w:rsid w:val="00A864F6"/>
    <w:rsid w:val="00A90D7D"/>
    <w:rsid w:val="00A91BE2"/>
    <w:rsid w:val="00A9340C"/>
    <w:rsid w:val="00A93ED8"/>
    <w:rsid w:val="00A957E8"/>
    <w:rsid w:val="00AA14DA"/>
    <w:rsid w:val="00AA2208"/>
    <w:rsid w:val="00AA338D"/>
    <w:rsid w:val="00AA3921"/>
    <w:rsid w:val="00AA584E"/>
    <w:rsid w:val="00AA5E6B"/>
    <w:rsid w:val="00AB123A"/>
    <w:rsid w:val="00AB1897"/>
    <w:rsid w:val="00AB3383"/>
    <w:rsid w:val="00AB37B5"/>
    <w:rsid w:val="00AB3F68"/>
    <w:rsid w:val="00AB546D"/>
    <w:rsid w:val="00AB5D3D"/>
    <w:rsid w:val="00AB60A8"/>
    <w:rsid w:val="00AC3833"/>
    <w:rsid w:val="00AC46C9"/>
    <w:rsid w:val="00AC56F8"/>
    <w:rsid w:val="00AC69C1"/>
    <w:rsid w:val="00AC73A7"/>
    <w:rsid w:val="00AC73C0"/>
    <w:rsid w:val="00AD3210"/>
    <w:rsid w:val="00AD3FD7"/>
    <w:rsid w:val="00AD4A98"/>
    <w:rsid w:val="00AD530B"/>
    <w:rsid w:val="00AD567C"/>
    <w:rsid w:val="00AD78CB"/>
    <w:rsid w:val="00AF02A1"/>
    <w:rsid w:val="00AF0C08"/>
    <w:rsid w:val="00AF168D"/>
    <w:rsid w:val="00AF283B"/>
    <w:rsid w:val="00AF338F"/>
    <w:rsid w:val="00AF4F30"/>
    <w:rsid w:val="00AF5BDC"/>
    <w:rsid w:val="00AF6D6D"/>
    <w:rsid w:val="00AF76E8"/>
    <w:rsid w:val="00AF7B51"/>
    <w:rsid w:val="00B02EA9"/>
    <w:rsid w:val="00B05FC4"/>
    <w:rsid w:val="00B06B82"/>
    <w:rsid w:val="00B07240"/>
    <w:rsid w:val="00B117F2"/>
    <w:rsid w:val="00B14232"/>
    <w:rsid w:val="00B14F6E"/>
    <w:rsid w:val="00B15A25"/>
    <w:rsid w:val="00B1620F"/>
    <w:rsid w:val="00B23232"/>
    <w:rsid w:val="00B24F2F"/>
    <w:rsid w:val="00B3011E"/>
    <w:rsid w:val="00B31791"/>
    <w:rsid w:val="00B332C8"/>
    <w:rsid w:val="00B3334B"/>
    <w:rsid w:val="00B40591"/>
    <w:rsid w:val="00B445F0"/>
    <w:rsid w:val="00B4539E"/>
    <w:rsid w:val="00B453BC"/>
    <w:rsid w:val="00B45EC7"/>
    <w:rsid w:val="00B4689B"/>
    <w:rsid w:val="00B50729"/>
    <w:rsid w:val="00B50B8A"/>
    <w:rsid w:val="00B51247"/>
    <w:rsid w:val="00B51B61"/>
    <w:rsid w:val="00B53250"/>
    <w:rsid w:val="00B56F1B"/>
    <w:rsid w:val="00B606D8"/>
    <w:rsid w:val="00B63588"/>
    <w:rsid w:val="00B652FE"/>
    <w:rsid w:val="00B70717"/>
    <w:rsid w:val="00B7207A"/>
    <w:rsid w:val="00B72809"/>
    <w:rsid w:val="00B75231"/>
    <w:rsid w:val="00B754FE"/>
    <w:rsid w:val="00B803C5"/>
    <w:rsid w:val="00B813BA"/>
    <w:rsid w:val="00B828A8"/>
    <w:rsid w:val="00B82B9D"/>
    <w:rsid w:val="00B836E3"/>
    <w:rsid w:val="00B83B6C"/>
    <w:rsid w:val="00B90259"/>
    <w:rsid w:val="00B946D0"/>
    <w:rsid w:val="00BA6443"/>
    <w:rsid w:val="00BA70AC"/>
    <w:rsid w:val="00BA735A"/>
    <w:rsid w:val="00BB2A4B"/>
    <w:rsid w:val="00BB3243"/>
    <w:rsid w:val="00BB49FD"/>
    <w:rsid w:val="00BB5E07"/>
    <w:rsid w:val="00BC1005"/>
    <w:rsid w:val="00BC1A19"/>
    <w:rsid w:val="00BC3EA6"/>
    <w:rsid w:val="00BC4A01"/>
    <w:rsid w:val="00BD24BD"/>
    <w:rsid w:val="00BD354A"/>
    <w:rsid w:val="00BD3EFE"/>
    <w:rsid w:val="00BD7421"/>
    <w:rsid w:val="00BF335C"/>
    <w:rsid w:val="00BF7955"/>
    <w:rsid w:val="00BF7976"/>
    <w:rsid w:val="00C0003E"/>
    <w:rsid w:val="00C0148D"/>
    <w:rsid w:val="00C0232B"/>
    <w:rsid w:val="00C03260"/>
    <w:rsid w:val="00C0628D"/>
    <w:rsid w:val="00C0679B"/>
    <w:rsid w:val="00C22D5D"/>
    <w:rsid w:val="00C23300"/>
    <w:rsid w:val="00C23650"/>
    <w:rsid w:val="00C23F57"/>
    <w:rsid w:val="00C25526"/>
    <w:rsid w:val="00C30B58"/>
    <w:rsid w:val="00C322BD"/>
    <w:rsid w:val="00C3336C"/>
    <w:rsid w:val="00C36F52"/>
    <w:rsid w:val="00C3777C"/>
    <w:rsid w:val="00C40020"/>
    <w:rsid w:val="00C40FD7"/>
    <w:rsid w:val="00C425E8"/>
    <w:rsid w:val="00C431FA"/>
    <w:rsid w:val="00C43637"/>
    <w:rsid w:val="00C44D2D"/>
    <w:rsid w:val="00C508FE"/>
    <w:rsid w:val="00C53A33"/>
    <w:rsid w:val="00C54DD1"/>
    <w:rsid w:val="00C566AA"/>
    <w:rsid w:val="00C65FDA"/>
    <w:rsid w:val="00C669C6"/>
    <w:rsid w:val="00C676AE"/>
    <w:rsid w:val="00C67E65"/>
    <w:rsid w:val="00C70D73"/>
    <w:rsid w:val="00C70F2F"/>
    <w:rsid w:val="00C72E46"/>
    <w:rsid w:val="00C73083"/>
    <w:rsid w:val="00C748BF"/>
    <w:rsid w:val="00C76411"/>
    <w:rsid w:val="00C77E89"/>
    <w:rsid w:val="00C80E36"/>
    <w:rsid w:val="00C85A85"/>
    <w:rsid w:val="00C85BB7"/>
    <w:rsid w:val="00C921B4"/>
    <w:rsid w:val="00C9453E"/>
    <w:rsid w:val="00CA0718"/>
    <w:rsid w:val="00CA148D"/>
    <w:rsid w:val="00CA37C7"/>
    <w:rsid w:val="00CA3939"/>
    <w:rsid w:val="00CA3EE1"/>
    <w:rsid w:val="00CA421E"/>
    <w:rsid w:val="00CA6B86"/>
    <w:rsid w:val="00CA7255"/>
    <w:rsid w:val="00CA736E"/>
    <w:rsid w:val="00CB1AA8"/>
    <w:rsid w:val="00CB20F8"/>
    <w:rsid w:val="00CB2E3D"/>
    <w:rsid w:val="00CB789C"/>
    <w:rsid w:val="00CC0014"/>
    <w:rsid w:val="00CC052E"/>
    <w:rsid w:val="00CC3BD1"/>
    <w:rsid w:val="00CC427F"/>
    <w:rsid w:val="00CC5763"/>
    <w:rsid w:val="00CC5CB3"/>
    <w:rsid w:val="00CC62D4"/>
    <w:rsid w:val="00CC63D4"/>
    <w:rsid w:val="00CC794A"/>
    <w:rsid w:val="00CD029E"/>
    <w:rsid w:val="00CD10C8"/>
    <w:rsid w:val="00CD1A36"/>
    <w:rsid w:val="00CD2540"/>
    <w:rsid w:val="00CD6CAD"/>
    <w:rsid w:val="00CE1D12"/>
    <w:rsid w:val="00CE2307"/>
    <w:rsid w:val="00CE543E"/>
    <w:rsid w:val="00CE6806"/>
    <w:rsid w:val="00CE7F81"/>
    <w:rsid w:val="00CF0EA9"/>
    <w:rsid w:val="00CF49D1"/>
    <w:rsid w:val="00CF4C07"/>
    <w:rsid w:val="00CF52F0"/>
    <w:rsid w:val="00CF576D"/>
    <w:rsid w:val="00CF67E2"/>
    <w:rsid w:val="00D006D5"/>
    <w:rsid w:val="00D0364E"/>
    <w:rsid w:val="00D0410E"/>
    <w:rsid w:val="00D0727B"/>
    <w:rsid w:val="00D12724"/>
    <w:rsid w:val="00D12DC0"/>
    <w:rsid w:val="00D13FB1"/>
    <w:rsid w:val="00D15755"/>
    <w:rsid w:val="00D17531"/>
    <w:rsid w:val="00D24E57"/>
    <w:rsid w:val="00D26033"/>
    <w:rsid w:val="00D26D25"/>
    <w:rsid w:val="00D30891"/>
    <w:rsid w:val="00D34E86"/>
    <w:rsid w:val="00D351B5"/>
    <w:rsid w:val="00D40197"/>
    <w:rsid w:val="00D42CE2"/>
    <w:rsid w:val="00D4724D"/>
    <w:rsid w:val="00D5109B"/>
    <w:rsid w:val="00D53146"/>
    <w:rsid w:val="00D549E2"/>
    <w:rsid w:val="00D56B17"/>
    <w:rsid w:val="00D62BFD"/>
    <w:rsid w:val="00D63D7B"/>
    <w:rsid w:val="00D66A3D"/>
    <w:rsid w:val="00D67B16"/>
    <w:rsid w:val="00D703DE"/>
    <w:rsid w:val="00D71F03"/>
    <w:rsid w:val="00D72309"/>
    <w:rsid w:val="00D75708"/>
    <w:rsid w:val="00D76394"/>
    <w:rsid w:val="00D777DE"/>
    <w:rsid w:val="00D84A94"/>
    <w:rsid w:val="00D860E1"/>
    <w:rsid w:val="00D87037"/>
    <w:rsid w:val="00D879EE"/>
    <w:rsid w:val="00D94882"/>
    <w:rsid w:val="00DA339D"/>
    <w:rsid w:val="00DA409F"/>
    <w:rsid w:val="00DA5012"/>
    <w:rsid w:val="00DA5098"/>
    <w:rsid w:val="00DA5DB5"/>
    <w:rsid w:val="00DA76BC"/>
    <w:rsid w:val="00DB0FDB"/>
    <w:rsid w:val="00DB1637"/>
    <w:rsid w:val="00DB5989"/>
    <w:rsid w:val="00DC118B"/>
    <w:rsid w:val="00DC1F11"/>
    <w:rsid w:val="00DC2DE3"/>
    <w:rsid w:val="00DC3045"/>
    <w:rsid w:val="00DC4DAC"/>
    <w:rsid w:val="00DC5619"/>
    <w:rsid w:val="00DD0657"/>
    <w:rsid w:val="00DD073D"/>
    <w:rsid w:val="00DD725D"/>
    <w:rsid w:val="00DE10AA"/>
    <w:rsid w:val="00DE2439"/>
    <w:rsid w:val="00DE435A"/>
    <w:rsid w:val="00DE5331"/>
    <w:rsid w:val="00DE6E72"/>
    <w:rsid w:val="00DE7076"/>
    <w:rsid w:val="00DE7BB6"/>
    <w:rsid w:val="00DF44DE"/>
    <w:rsid w:val="00DF707C"/>
    <w:rsid w:val="00DF716D"/>
    <w:rsid w:val="00DF71F5"/>
    <w:rsid w:val="00E000C5"/>
    <w:rsid w:val="00E011B6"/>
    <w:rsid w:val="00E0434D"/>
    <w:rsid w:val="00E06BA2"/>
    <w:rsid w:val="00E07579"/>
    <w:rsid w:val="00E07DA8"/>
    <w:rsid w:val="00E10A96"/>
    <w:rsid w:val="00E11C7C"/>
    <w:rsid w:val="00E124B2"/>
    <w:rsid w:val="00E14A63"/>
    <w:rsid w:val="00E16B2F"/>
    <w:rsid w:val="00E20405"/>
    <w:rsid w:val="00E20F2F"/>
    <w:rsid w:val="00E22D80"/>
    <w:rsid w:val="00E23EBD"/>
    <w:rsid w:val="00E2700D"/>
    <w:rsid w:val="00E3138E"/>
    <w:rsid w:val="00E32182"/>
    <w:rsid w:val="00E3506C"/>
    <w:rsid w:val="00E354A2"/>
    <w:rsid w:val="00E36444"/>
    <w:rsid w:val="00E402EB"/>
    <w:rsid w:val="00E42AD4"/>
    <w:rsid w:val="00E4314E"/>
    <w:rsid w:val="00E5562C"/>
    <w:rsid w:val="00E56E3A"/>
    <w:rsid w:val="00E60918"/>
    <w:rsid w:val="00E6314F"/>
    <w:rsid w:val="00E649F7"/>
    <w:rsid w:val="00E70712"/>
    <w:rsid w:val="00E70837"/>
    <w:rsid w:val="00E70B5E"/>
    <w:rsid w:val="00E72870"/>
    <w:rsid w:val="00E73238"/>
    <w:rsid w:val="00E733A2"/>
    <w:rsid w:val="00E766D6"/>
    <w:rsid w:val="00E76CCD"/>
    <w:rsid w:val="00E81060"/>
    <w:rsid w:val="00E837AC"/>
    <w:rsid w:val="00E904A7"/>
    <w:rsid w:val="00E93204"/>
    <w:rsid w:val="00E93B03"/>
    <w:rsid w:val="00E93D65"/>
    <w:rsid w:val="00E93EDB"/>
    <w:rsid w:val="00EA0EA0"/>
    <w:rsid w:val="00EA3408"/>
    <w:rsid w:val="00EA509A"/>
    <w:rsid w:val="00EA591E"/>
    <w:rsid w:val="00EA5E58"/>
    <w:rsid w:val="00EA650B"/>
    <w:rsid w:val="00EA7A1C"/>
    <w:rsid w:val="00EB022F"/>
    <w:rsid w:val="00EB2991"/>
    <w:rsid w:val="00EB4E5C"/>
    <w:rsid w:val="00EB52ED"/>
    <w:rsid w:val="00EB5981"/>
    <w:rsid w:val="00EC0896"/>
    <w:rsid w:val="00EC4411"/>
    <w:rsid w:val="00EC443D"/>
    <w:rsid w:val="00EC5821"/>
    <w:rsid w:val="00EC7F96"/>
    <w:rsid w:val="00ED0586"/>
    <w:rsid w:val="00ED369B"/>
    <w:rsid w:val="00ED5443"/>
    <w:rsid w:val="00ED5B8A"/>
    <w:rsid w:val="00ED63A0"/>
    <w:rsid w:val="00ED7829"/>
    <w:rsid w:val="00EE0652"/>
    <w:rsid w:val="00EE099A"/>
    <w:rsid w:val="00EE1C76"/>
    <w:rsid w:val="00EE2191"/>
    <w:rsid w:val="00EE2BD4"/>
    <w:rsid w:val="00EE3E14"/>
    <w:rsid w:val="00EE6FF2"/>
    <w:rsid w:val="00EF0A98"/>
    <w:rsid w:val="00EF0CD7"/>
    <w:rsid w:val="00EF0D9D"/>
    <w:rsid w:val="00EF40D9"/>
    <w:rsid w:val="00EF4563"/>
    <w:rsid w:val="00F01207"/>
    <w:rsid w:val="00F025F0"/>
    <w:rsid w:val="00F04D92"/>
    <w:rsid w:val="00F05788"/>
    <w:rsid w:val="00F12124"/>
    <w:rsid w:val="00F16057"/>
    <w:rsid w:val="00F1659C"/>
    <w:rsid w:val="00F16E24"/>
    <w:rsid w:val="00F173A1"/>
    <w:rsid w:val="00F20447"/>
    <w:rsid w:val="00F226F3"/>
    <w:rsid w:val="00F22F7B"/>
    <w:rsid w:val="00F25D45"/>
    <w:rsid w:val="00F3025E"/>
    <w:rsid w:val="00F31B87"/>
    <w:rsid w:val="00F33F28"/>
    <w:rsid w:val="00F35E46"/>
    <w:rsid w:val="00F365C2"/>
    <w:rsid w:val="00F40427"/>
    <w:rsid w:val="00F40BF0"/>
    <w:rsid w:val="00F410FF"/>
    <w:rsid w:val="00F42083"/>
    <w:rsid w:val="00F43772"/>
    <w:rsid w:val="00F4403B"/>
    <w:rsid w:val="00F46B51"/>
    <w:rsid w:val="00F51621"/>
    <w:rsid w:val="00F54269"/>
    <w:rsid w:val="00F55497"/>
    <w:rsid w:val="00F579D1"/>
    <w:rsid w:val="00F60F35"/>
    <w:rsid w:val="00F648D8"/>
    <w:rsid w:val="00F64FF0"/>
    <w:rsid w:val="00F66C35"/>
    <w:rsid w:val="00F67D5A"/>
    <w:rsid w:val="00F70CB5"/>
    <w:rsid w:val="00F753A7"/>
    <w:rsid w:val="00F83766"/>
    <w:rsid w:val="00F84768"/>
    <w:rsid w:val="00F90DDC"/>
    <w:rsid w:val="00F91F00"/>
    <w:rsid w:val="00F93A01"/>
    <w:rsid w:val="00F94442"/>
    <w:rsid w:val="00F967FA"/>
    <w:rsid w:val="00F9738B"/>
    <w:rsid w:val="00FA15D6"/>
    <w:rsid w:val="00FA4A86"/>
    <w:rsid w:val="00FB1EB1"/>
    <w:rsid w:val="00FB2A2C"/>
    <w:rsid w:val="00FB3904"/>
    <w:rsid w:val="00FC0286"/>
    <w:rsid w:val="00FC06D6"/>
    <w:rsid w:val="00FC0AA2"/>
    <w:rsid w:val="00FC4A3D"/>
    <w:rsid w:val="00FC6D11"/>
    <w:rsid w:val="00FD0787"/>
    <w:rsid w:val="00FD0E6D"/>
    <w:rsid w:val="00FD14AC"/>
    <w:rsid w:val="00FD3AF3"/>
    <w:rsid w:val="00FD668E"/>
    <w:rsid w:val="00FD7CC9"/>
    <w:rsid w:val="00FE3C07"/>
    <w:rsid w:val="00FF32C9"/>
    <w:rsid w:val="00FF3BDD"/>
    <w:rsid w:val="00FF4330"/>
    <w:rsid w:val="00FF6526"/>
    <w:rsid w:val="00FF68AC"/>
    <w:rsid w:val="00FF778F"/>
    <w:rsid w:val="00FF7D8B"/>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191"/>
    <w:rPr>
      <w:rFonts w:ascii="Times New Roman" w:eastAsia="Times New Roman" w:hAnsi="Times New Roman"/>
      <w:sz w:val="24"/>
      <w:szCs w:val="24"/>
      <w:lang w:val="en-GB" w:eastAsia="en-US"/>
    </w:rPr>
  </w:style>
  <w:style w:type="paragraph" w:styleId="Heading1">
    <w:name w:val="heading 1"/>
    <w:basedOn w:val="Normal"/>
    <w:link w:val="Heading1Char"/>
    <w:uiPriority w:val="99"/>
    <w:qFormat/>
    <w:rsid w:val="00B02EA9"/>
    <w:pPr>
      <w:spacing w:before="100" w:beforeAutospacing="1" w:after="100" w:afterAutospacing="1"/>
      <w:outlineLvl w:val="0"/>
    </w:pPr>
    <w:rPr>
      <w:b/>
      <w:bCs/>
      <w:kern w:val="36"/>
      <w:sz w:val="48"/>
      <w:szCs w:val="48"/>
      <w:lang w:eastAsia="it-IT"/>
    </w:rPr>
  </w:style>
  <w:style w:type="paragraph" w:styleId="Heading2">
    <w:name w:val="heading 2"/>
    <w:basedOn w:val="Normal"/>
    <w:next w:val="Normal"/>
    <w:link w:val="Heading2Char"/>
    <w:uiPriority w:val="99"/>
    <w:qFormat/>
    <w:rsid w:val="00B02EA9"/>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B02EA9"/>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B02EA9"/>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B02EA9"/>
    <w:pPr>
      <w:keepNext/>
      <w:keepLines/>
      <w:spacing w:before="200"/>
      <w:outlineLvl w:val="4"/>
    </w:pPr>
    <w:rPr>
      <w:rFonts w:ascii="Cambria"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2EA9"/>
    <w:rPr>
      <w:rFonts w:ascii="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9"/>
    <w:locked/>
    <w:rsid w:val="00B02EA9"/>
    <w:rPr>
      <w:rFonts w:ascii="Cambria" w:hAnsi="Cambria" w:cs="Cambria"/>
      <w:b/>
      <w:bCs/>
      <w:color w:val="4F81BD"/>
      <w:sz w:val="26"/>
      <w:szCs w:val="26"/>
      <w:lang w:eastAsia="en-US"/>
    </w:rPr>
  </w:style>
  <w:style w:type="character" w:customStyle="1" w:styleId="Heading3Char">
    <w:name w:val="Heading 3 Char"/>
    <w:basedOn w:val="DefaultParagraphFont"/>
    <w:link w:val="Heading3"/>
    <w:uiPriority w:val="99"/>
    <w:semiHidden/>
    <w:locked/>
    <w:rsid w:val="00B02EA9"/>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B02EA9"/>
    <w:rPr>
      <w:rFonts w:ascii="Cambria" w:hAnsi="Cambria" w:cs="Cambria"/>
      <w:b/>
      <w:bCs/>
      <w:i/>
      <w:iCs/>
      <w:color w:val="4F81BD"/>
      <w:sz w:val="22"/>
      <w:szCs w:val="22"/>
      <w:lang w:eastAsia="en-US"/>
    </w:rPr>
  </w:style>
  <w:style w:type="character" w:customStyle="1" w:styleId="Heading5Char">
    <w:name w:val="Heading 5 Char"/>
    <w:basedOn w:val="DefaultParagraphFont"/>
    <w:link w:val="Heading5"/>
    <w:uiPriority w:val="99"/>
    <w:semiHidden/>
    <w:locked/>
    <w:rsid w:val="00B02EA9"/>
    <w:rPr>
      <w:rFonts w:ascii="Cambria" w:hAnsi="Cambria" w:cs="Cambria"/>
      <w:color w:val="243F60"/>
      <w:sz w:val="22"/>
      <w:szCs w:val="22"/>
      <w:lang w:eastAsia="en-US"/>
    </w:rPr>
  </w:style>
  <w:style w:type="paragraph" w:styleId="BalloonText">
    <w:name w:val="Balloon Text"/>
    <w:basedOn w:val="Normal"/>
    <w:link w:val="BalloonTextChar"/>
    <w:uiPriority w:val="99"/>
    <w:semiHidden/>
    <w:rsid w:val="00115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5583"/>
    <w:rPr>
      <w:rFonts w:ascii="Tahoma" w:hAnsi="Tahoma" w:cs="Tahoma"/>
      <w:sz w:val="16"/>
      <w:szCs w:val="16"/>
      <w:lang w:eastAsia="en-US"/>
    </w:rPr>
  </w:style>
  <w:style w:type="paragraph" w:styleId="Caption">
    <w:name w:val="caption"/>
    <w:basedOn w:val="Normal"/>
    <w:next w:val="Normal"/>
    <w:uiPriority w:val="99"/>
    <w:qFormat/>
    <w:rsid w:val="00B02EA9"/>
    <w:rPr>
      <w:b/>
      <w:bCs/>
      <w:color w:val="4F81BD"/>
      <w:sz w:val="18"/>
      <w:szCs w:val="18"/>
    </w:rPr>
  </w:style>
  <w:style w:type="paragraph" w:styleId="Title">
    <w:name w:val="Title"/>
    <w:basedOn w:val="Normal"/>
    <w:link w:val="TitleChar"/>
    <w:uiPriority w:val="99"/>
    <w:qFormat/>
    <w:rsid w:val="00B02EA9"/>
    <w:pPr>
      <w:jc w:val="center"/>
    </w:pPr>
    <w:rPr>
      <w:rFonts w:ascii="Arial" w:hAnsi="Arial" w:cs="Arial"/>
      <w:sz w:val="28"/>
      <w:szCs w:val="28"/>
    </w:rPr>
  </w:style>
  <w:style w:type="character" w:customStyle="1" w:styleId="TitleChar">
    <w:name w:val="Title Char"/>
    <w:basedOn w:val="DefaultParagraphFont"/>
    <w:link w:val="Title"/>
    <w:uiPriority w:val="99"/>
    <w:locked/>
    <w:rsid w:val="00B02EA9"/>
    <w:rPr>
      <w:rFonts w:ascii="Arial" w:hAnsi="Arial" w:cs="Arial"/>
      <w:sz w:val="28"/>
      <w:szCs w:val="28"/>
      <w:lang w:eastAsia="en-US"/>
    </w:rPr>
  </w:style>
  <w:style w:type="paragraph" w:styleId="Subtitle">
    <w:name w:val="Subtitle"/>
    <w:basedOn w:val="Normal"/>
    <w:link w:val="SubtitleChar"/>
    <w:uiPriority w:val="99"/>
    <w:qFormat/>
    <w:rsid w:val="00B02EA9"/>
    <w:pPr>
      <w:jc w:val="center"/>
    </w:pPr>
    <w:rPr>
      <w:b/>
      <w:bCs/>
    </w:rPr>
  </w:style>
  <w:style w:type="character" w:customStyle="1" w:styleId="SubtitleChar">
    <w:name w:val="Subtitle Char"/>
    <w:basedOn w:val="DefaultParagraphFont"/>
    <w:link w:val="Subtitle"/>
    <w:uiPriority w:val="99"/>
    <w:locked/>
    <w:rsid w:val="00B02EA9"/>
    <w:rPr>
      <w:rFonts w:ascii="Times New Roman" w:hAnsi="Times New Roman" w:cs="Times New Roman"/>
      <w:b/>
      <w:bCs/>
      <w:sz w:val="22"/>
      <w:szCs w:val="22"/>
      <w:lang w:eastAsia="en-US"/>
    </w:rPr>
  </w:style>
  <w:style w:type="character" w:styleId="Strong">
    <w:name w:val="Strong"/>
    <w:basedOn w:val="DefaultParagraphFont"/>
    <w:uiPriority w:val="99"/>
    <w:qFormat/>
    <w:rsid w:val="00B02EA9"/>
    <w:rPr>
      <w:b/>
      <w:bCs/>
    </w:rPr>
  </w:style>
  <w:style w:type="character" w:styleId="Emphasis">
    <w:name w:val="Emphasis"/>
    <w:basedOn w:val="DefaultParagraphFont"/>
    <w:uiPriority w:val="99"/>
    <w:qFormat/>
    <w:rsid w:val="00B02EA9"/>
    <w:rPr>
      <w:i/>
      <w:iCs/>
    </w:rPr>
  </w:style>
  <w:style w:type="paragraph" w:styleId="ListParagraph">
    <w:name w:val="List Paragraph"/>
    <w:basedOn w:val="Normal"/>
    <w:uiPriority w:val="99"/>
    <w:qFormat/>
    <w:rsid w:val="00B02EA9"/>
    <w:pPr>
      <w:ind w:left="720"/>
    </w:pPr>
  </w:style>
  <w:style w:type="paragraph" w:styleId="FootnoteText">
    <w:name w:val="footnote text"/>
    <w:aliases w:val="Footnote Text Char,single space,FOOTNOTES,fn,Footnote Text Char Char Char,Footnote Text Char Char,Footnote Text Char1,single space Char,ft Char,ft,Footnote,Fußnote,Text pozn. pod čarou_martin_ang,FuЯnotentext Cha"/>
    <w:basedOn w:val="Normal"/>
    <w:link w:val="FootnoteTextChar3"/>
    <w:uiPriority w:val="99"/>
    <w:semiHidden/>
    <w:rsid w:val="00EE2191"/>
    <w:rPr>
      <w:sz w:val="20"/>
      <w:szCs w:val="20"/>
    </w:rPr>
  </w:style>
  <w:style w:type="character" w:customStyle="1" w:styleId="FootnoteTextChar2">
    <w:name w:val="Footnote Text Char2"/>
    <w:aliases w:val="Footnote Text Char Char1,single space Char1,FOOTNOTES Char,fn Char,Footnote Text Char Char Char Char,Footnote Text Char Char Char1,Footnote Text Char1 Char,single space Char Char,ft Char Char,ft Char1,Footnote Char,Fußnote Char"/>
    <w:basedOn w:val="DefaultParagraphFont"/>
    <w:link w:val="FootnoteText"/>
    <w:uiPriority w:val="99"/>
    <w:semiHidden/>
    <w:locked/>
    <w:rsid w:val="00CF0EA9"/>
    <w:rPr>
      <w:rFonts w:ascii="Times New Roman" w:hAnsi="Times New Roman" w:cs="Times New Roman"/>
      <w:sz w:val="20"/>
      <w:szCs w:val="20"/>
      <w:lang w:val="en-GB" w:eastAsia="en-US"/>
    </w:rPr>
  </w:style>
  <w:style w:type="character" w:customStyle="1" w:styleId="FootnoteTextChar3">
    <w:name w:val="Footnote Text Char3"/>
    <w:aliases w:val="Footnote Text Char Char2,single space Char2,FOOTNOTES Char1,fn Char1,Footnote Text Char Char Char Char1,Footnote Text Char Char Char2,Footnote Text Char1 Char1,single space Char Char1,ft Char Char1,ft Char2,Footnote Char1"/>
    <w:basedOn w:val="DefaultParagraphFont"/>
    <w:link w:val="FootnoteText"/>
    <w:uiPriority w:val="99"/>
    <w:locked/>
    <w:rsid w:val="00EE2191"/>
    <w:rPr>
      <w:rFonts w:ascii="Times New Roman" w:hAnsi="Times New Roman" w:cs="Times New Roman"/>
      <w:lang w:eastAsia="en-US"/>
    </w:rPr>
  </w:style>
  <w:style w:type="character" w:styleId="FootnoteReference">
    <w:name w:val="footnote reference"/>
    <w:aliases w:val="ftref,Footnote Reference Number,Footnote Reference_LVL6,Footnote Reference_LVL61,Footnote Reference_LVL62,Footnote Reference_LVL63,Footnote Reference_LVL64,Знак сноски-FN,16 Point,Superscript 6 Point,fr,BVI fnr"/>
    <w:basedOn w:val="DefaultParagraphFont"/>
    <w:uiPriority w:val="99"/>
    <w:semiHidden/>
    <w:rsid w:val="00EE2191"/>
    <w:rPr>
      <w:vertAlign w:val="superscript"/>
    </w:rPr>
  </w:style>
  <w:style w:type="paragraph" w:customStyle="1" w:styleId="Paragrafoelenco1">
    <w:name w:val="Paragrafo elenco1"/>
    <w:basedOn w:val="Normal"/>
    <w:uiPriority w:val="99"/>
    <w:rsid w:val="00EE2191"/>
    <w:pPr>
      <w:spacing w:after="200" w:line="276" w:lineRule="auto"/>
      <w:ind w:left="720"/>
    </w:pPr>
    <w:rPr>
      <w:rFonts w:ascii="Calibri" w:eastAsia="Calibri" w:hAnsi="Calibri" w:cs="Calibri"/>
      <w:sz w:val="22"/>
      <w:szCs w:val="22"/>
      <w:lang w:val="en-AU"/>
    </w:rPr>
  </w:style>
  <w:style w:type="paragraph" w:styleId="CommentText">
    <w:name w:val="annotation text"/>
    <w:basedOn w:val="Normal"/>
    <w:link w:val="CommentTextChar"/>
    <w:uiPriority w:val="99"/>
    <w:semiHidden/>
    <w:rsid w:val="00EE2191"/>
    <w:rPr>
      <w:sz w:val="20"/>
      <w:szCs w:val="20"/>
    </w:rPr>
  </w:style>
  <w:style w:type="character" w:customStyle="1" w:styleId="CommentTextChar">
    <w:name w:val="Comment Text Char"/>
    <w:basedOn w:val="DefaultParagraphFont"/>
    <w:link w:val="CommentText"/>
    <w:uiPriority w:val="99"/>
    <w:locked/>
    <w:rsid w:val="00EE2191"/>
    <w:rPr>
      <w:rFonts w:ascii="Times New Roman" w:hAnsi="Times New Roman" w:cs="Times New Roman"/>
      <w:lang w:eastAsia="en-US"/>
    </w:rPr>
  </w:style>
  <w:style w:type="paragraph" w:customStyle="1" w:styleId="Pa4">
    <w:name w:val="Pa4"/>
    <w:basedOn w:val="Normal"/>
    <w:next w:val="Normal"/>
    <w:uiPriority w:val="99"/>
    <w:rsid w:val="00EE2191"/>
    <w:pPr>
      <w:autoSpaceDE w:val="0"/>
      <w:autoSpaceDN w:val="0"/>
      <w:adjustRightInd w:val="0"/>
      <w:spacing w:after="120" w:line="191" w:lineRule="atLeast"/>
    </w:pPr>
    <w:rPr>
      <w:rFonts w:ascii="Caecilia" w:hAnsi="Caecilia" w:cs="Caecilia"/>
      <w:lang w:val="it-IT" w:eastAsia="it-IT"/>
    </w:rPr>
  </w:style>
  <w:style w:type="character" w:customStyle="1" w:styleId="TabletextChar">
    <w:name w:val="Table text Char"/>
    <w:link w:val="Tabletext"/>
    <w:uiPriority w:val="99"/>
    <w:locked/>
    <w:rsid w:val="00A957E8"/>
    <w:rPr>
      <w:color w:val="616264"/>
    </w:rPr>
  </w:style>
  <w:style w:type="paragraph" w:customStyle="1" w:styleId="Tabletext">
    <w:name w:val="Table text"/>
    <w:basedOn w:val="Normal"/>
    <w:link w:val="TabletextChar"/>
    <w:uiPriority w:val="99"/>
    <w:rsid w:val="00A957E8"/>
    <w:pPr>
      <w:jc w:val="center"/>
    </w:pPr>
    <w:rPr>
      <w:rFonts w:ascii="Calibri" w:eastAsia="Calibri" w:hAnsi="Calibri" w:cs="Calibri"/>
      <w:color w:val="616264"/>
      <w:sz w:val="20"/>
      <w:szCs w:val="20"/>
      <w:lang w:val="mk-MK" w:eastAsia="en-GB"/>
    </w:rPr>
  </w:style>
  <w:style w:type="paragraph" w:customStyle="1" w:styleId="Default">
    <w:name w:val="Default"/>
    <w:uiPriority w:val="99"/>
    <w:rsid w:val="009126B1"/>
    <w:pPr>
      <w:autoSpaceDE w:val="0"/>
      <w:autoSpaceDN w:val="0"/>
      <w:adjustRightInd w:val="0"/>
    </w:pPr>
    <w:rPr>
      <w:rFonts w:ascii="Times New Roman" w:hAnsi="Times New Roman"/>
      <w:color w:val="000000"/>
      <w:sz w:val="24"/>
      <w:szCs w:val="24"/>
      <w:lang w:val="en-GB" w:eastAsia="en-GB"/>
    </w:rPr>
  </w:style>
  <w:style w:type="paragraph" w:styleId="Footer">
    <w:name w:val="footer"/>
    <w:basedOn w:val="Normal"/>
    <w:link w:val="FooterChar"/>
    <w:uiPriority w:val="99"/>
    <w:rsid w:val="00DC4DAC"/>
    <w:pPr>
      <w:tabs>
        <w:tab w:val="center" w:pos="4153"/>
        <w:tab w:val="right" w:pos="8306"/>
      </w:tabs>
    </w:pPr>
  </w:style>
  <w:style w:type="character" w:customStyle="1" w:styleId="FooterChar">
    <w:name w:val="Footer Char"/>
    <w:basedOn w:val="DefaultParagraphFont"/>
    <w:link w:val="Footer"/>
    <w:uiPriority w:val="99"/>
    <w:locked/>
    <w:rsid w:val="00DC4DAC"/>
    <w:rPr>
      <w:rFonts w:ascii="Times New Roman" w:hAnsi="Times New Roman" w:cs="Times New Roman"/>
      <w:sz w:val="24"/>
      <w:szCs w:val="24"/>
      <w:lang w:eastAsia="en-US"/>
    </w:rPr>
  </w:style>
  <w:style w:type="character" w:styleId="PageNumber">
    <w:name w:val="page number"/>
    <w:basedOn w:val="DefaultParagraphFont"/>
    <w:uiPriority w:val="99"/>
    <w:rsid w:val="00DC4DAC"/>
  </w:style>
  <w:style w:type="character" w:customStyle="1" w:styleId="tgc">
    <w:name w:val="_tgc"/>
    <w:basedOn w:val="DefaultParagraphFont"/>
    <w:uiPriority w:val="99"/>
    <w:rsid w:val="004E2460"/>
  </w:style>
  <w:style w:type="paragraph" w:styleId="BodyText">
    <w:name w:val="Body Text"/>
    <w:basedOn w:val="Normal"/>
    <w:link w:val="BodyTextChar"/>
    <w:uiPriority w:val="99"/>
    <w:rsid w:val="00F83766"/>
    <w:pPr>
      <w:jc w:val="both"/>
    </w:pPr>
  </w:style>
  <w:style w:type="character" w:customStyle="1" w:styleId="BodyTextChar">
    <w:name w:val="Body Text Char"/>
    <w:basedOn w:val="DefaultParagraphFont"/>
    <w:link w:val="BodyText"/>
    <w:uiPriority w:val="99"/>
    <w:locked/>
    <w:rsid w:val="00F83766"/>
    <w:rPr>
      <w:rFonts w:ascii="Times New Roman" w:hAnsi="Times New Roman" w:cs="Times New Roman"/>
      <w:sz w:val="24"/>
      <w:szCs w:val="24"/>
      <w:lang w:eastAsia="en-US"/>
    </w:rPr>
  </w:style>
  <w:style w:type="paragraph" w:styleId="Header">
    <w:name w:val="header"/>
    <w:basedOn w:val="Normal"/>
    <w:link w:val="HeaderChar"/>
    <w:uiPriority w:val="99"/>
    <w:rsid w:val="00335219"/>
    <w:pPr>
      <w:tabs>
        <w:tab w:val="center" w:pos="4819"/>
        <w:tab w:val="right" w:pos="9638"/>
      </w:tabs>
    </w:pPr>
  </w:style>
  <w:style w:type="character" w:customStyle="1" w:styleId="HeaderChar">
    <w:name w:val="Header Char"/>
    <w:basedOn w:val="DefaultParagraphFont"/>
    <w:link w:val="Header"/>
    <w:uiPriority w:val="99"/>
    <w:locked/>
    <w:rsid w:val="00335219"/>
    <w:rPr>
      <w:rFonts w:ascii="Times New Roman" w:hAnsi="Times New Roman" w:cs="Times New Roman"/>
      <w:sz w:val="24"/>
      <w:szCs w:val="24"/>
      <w:lang w:eastAsia="en-US"/>
    </w:rPr>
  </w:style>
  <w:style w:type="paragraph" w:styleId="BodyTextIndent2">
    <w:name w:val="Body Text Indent 2"/>
    <w:basedOn w:val="Normal"/>
    <w:link w:val="BodyTextIndent2Char"/>
    <w:uiPriority w:val="99"/>
    <w:rsid w:val="00B24F2F"/>
    <w:pPr>
      <w:spacing w:after="120" w:line="480" w:lineRule="auto"/>
      <w:ind w:left="283"/>
    </w:pPr>
    <w:rPr>
      <w:lang w:val="sr-Latn-CS"/>
    </w:rPr>
  </w:style>
  <w:style w:type="character" w:customStyle="1" w:styleId="BodyTextIndent2Char">
    <w:name w:val="Body Text Indent 2 Char"/>
    <w:basedOn w:val="DefaultParagraphFont"/>
    <w:link w:val="BodyTextIndent2"/>
    <w:uiPriority w:val="99"/>
    <w:locked/>
    <w:rsid w:val="00B24F2F"/>
    <w:rPr>
      <w:rFonts w:ascii="Times New Roman" w:hAnsi="Times New Roman" w:cs="Times New Roman"/>
      <w:sz w:val="24"/>
      <w:szCs w:val="24"/>
      <w:lang w:val="sr-Latn-CS" w:eastAsia="en-US"/>
    </w:rPr>
  </w:style>
  <w:style w:type="paragraph" w:styleId="BlockText">
    <w:name w:val="Block Text"/>
    <w:basedOn w:val="Normal"/>
    <w:uiPriority w:val="99"/>
    <w:rsid w:val="00B24F2F"/>
    <w:pPr>
      <w:autoSpaceDE w:val="0"/>
      <w:autoSpaceDN w:val="0"/>
      <w:adjustRightInd w:val="0"/>
      <w:ind w:left="1440" w:right="-352" w:hanging="900"/>
      <w:jc w:val="both"/>
    </w:pPr>
    <w:rPr>
      <w:b/>
      <w:bCs/>
      <w:i/>
      <w:iCs/>
    </w:rPr>
  </w:style>
  <w:style w:type="paragraph" w:styleId="BodyText3">
    <w:name w:val="Body Text 3"/>
    <w:basedOn w:val="Normal"/>
    <w:link w:val="BodyText3Char"/>
    <w:uiPriority w:val="99"/>
    <w:rsid w:val="00906518"/>
    <w:pPr>
      <w:spacing w:after="120"/>
    </w:pPr>
    <w:rPr>
      <w:sz w:val="16"/>
      <w:szCs w:val="16"/>
    </w:rPr>
  </w:style>
  <w:style w:type="character" w:customStyle="1" w:styleId="BodyText3Char">
    <w:name w:val="Body Text 3 Char"/>
    <w:basedOn w:val="DefaultParagraphFont"/>
    <w:link w:val="BodyText3"/>
    <w:uiPriority w:val="99"/>
    <w:locked/>
    <w:rsid w:val="00906518"/>
    <w:rPr>
      <w:rFonts w:ascii="Times New Roman" w:hAnsi="Times New Roman" w:cs="Times New Roman"/>
      <w:sz w:val="16"/>
      <w:szCs w:val="16"/>
      <w:lang w:eastAsia="en-US"/>
    </w:rPr>
  </w:style>
  <w:style w:type="character" w:styleId="Hyperlink">
    <w:name w:val="Hyperlink"/>
    <w:basedOn w:val="DefaultParagraphFont"/>
    <w:uiPriority w:val="99"/>
    <w:rsid w:val="00115583"/>
    <w:rPr>
      <w:color w:val="0000FF"/>
      <w:u w:val="single"/>
    </w:rPr>
  </w:style>
  <w:style w:type="paragraph" w:styleId="BodyText2">
    <w:name w:val="Body Text 2"/>
    <w:basedOn w:val="Normal"/>
    <w:link w:val="BodyText2Char"/>
    <w:uiPriority w:val="99"/>
    <w:semiHidden/>
    <w:rsid w:val="00536703"/>
    <w:pPr>
      <w:spacing w:after="120" w:line="480" w:lineRule="auto"/>
    </w:pPr>
  </w:style>
  <w:style w:type="character" w:customStyle="1" w:styleId="BodyText2Char">
    <w:name w:val="Body Text 2 Char"/>
    <w:basedOn w:val="DefaultParagraphFont"/>
    <w:link w:val="BodyText2"/>
    <w:uiPriority w:val="99"/>
    <w:semiHidden/>
    <w:locked/>
    <w:rsid w:val="00536703"/>
    <w:rPr>
      <w:rFonts w:ascii="Times New Roman" w:hAnsi="Times New Roman" w:cs="Times New Roman"/>
      <w:sz w:val="24"/>
      <w:szCs w:val="24"/>
      <w:lang w:eastAsia="en-US"/>
    </w:rPr>
  </w:style>
  <w:style w:type="table" w:styleId="TableGrid">
    <w:name w:val="Table Grid"/>
    <w:basedOn w:val="TableNormal"/>
    <w:uiPriority w:val="99"/>
    <w:rsid w:val="00C676A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905184"/>
  </w:style>
  <w:style w:type="character" w:styleId="FollowedHyperlink">
    <w:name w:val="FollowedHyperlink"/>
    <w:basedOn w:val="DefaultParagraphFont"/>
    <w:uiPriority w:val="99"/>
    <w:semiHidden/>
    <w:rsid w:val="00EE1C76"/>
    <w:rPr>
      <w:color w:val="800080"/>
      <w:u w:val="single"/>
    </w:rPr>
  </w:style>
  <w:style w:type="paragraph" w:styleId="DocumentMap">
    <w:name w:val="Document Map"/>
    <w:basedOn w:val="Normal"/>
    <w:link w:val="DocumentMapChar"/>
    <w:uiPriority w:val="99"/>
    <w:semiHidden/>
    <w:rsid w:val="007B24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F0EA9"/>
    <w:rPr>
      <w:rFonts w:ascii="Times New Roman" w:hAnsi="Times New Roman" w:cs="Times New Roman"/>
      <w:sz w:val="2"/>
      <w:szCs w:val="2"/>
      <w:lang w:val="en-GB" w:eastAsia="en-US"/>
    </w:rPr>
  </w:style>
</w:styles>
</file>

<file path=word/webSettings.xml><?xml version="1.0" encoding="utf-8"?>
<w:webSettings xmlns:r="http://schemas.openxmlformats.org/officeDocument/2006/relationships" xmlns:w="http://schemas.openxmlformats.org/wordprocessingml/2006/main">
  <w:divs>
    <w:div w:id="632641900">
      <w:marLeft w:val="0"/>
      <w:marRight w:val="0"/>
      <w:marTop w:val="0"/>
      <w:marBottom w:val="0"/>
      <w:divBdr>
        <w:top w:val="none" w:sz="0" w:space="0" w:color="auto"/>
        <w:left w:val="none" w:sz="0" w:space="0" w:color="auto"/>
        <w:bottom w:val="none" w:sz="0" w:space="0" w:color="auto"/>
        <w:right w:val="none" w:sz="0" w:space="0" w:color="auto"/>
      </w:divBdr>
    </w:div>
    <w:div w:id="632641902">
      <w:marLeft w:val="0"/>
      <w:marRight w:val="0"/>
      <w:marTop w:val="0"/>
      <w:marBottom w:val="0"/>
      <w:divBdr>
        <w:top w:val="none" w:sz="0" w:space="0" w:color="auto"/>
        <w:left w:val="none" w:sz="0" w:space="0" w:color="auto"/>
        <w:bottom w:val="none" w:sz="0" w:space="0" w:color="auto"/>
        <w:right w:val="none" w:sz="0" w:space="0" w:color="auto"/>
      </w:divBdr>
    </w:div>
    <w:div w:id="632641903">
      <w:marLeft w:val="0"/>
      <w:marRight w:val="0"/>
      <w:marTop w:val="0"/>
      <w:marBottom w:val="0"/>
      <w:divBdr>
        <w:top w:val="none" w:sz="0" w:space="0" w:color="auto"/>
        <w:left w:val="none" w:sz="0" w:space="0" w:color="auto"/>
        <w:bottom w:val="none" w:sz="0" w:space="0" w:color="auto"/>
        <w:right w:val="none" w:sz="0" w:space="0" w:color="auto"/>
      </w:divBdr>
      <w:divsChild>
        <w:div w:id="632641899">
          <w:marLeft w:val="0"/>
          <w:marRight w:val="0"/>
          <w:marTop w:val="0"/>
          <w:marBottom w:val="0"/>
          <w:divBdr>
            <w:top w:val="none" w:sz="0" w:space="0" w:color="auto"/>
            <w:left w:val="none" w:sz="0" w:space="0" w:color="auto"/>
            <w:bottom w:val="none" w:sz="0" w:space="0" w:color="auto"/>
            <w:right w:val="none" w:sz="0" w:space="0" w:color="auto"/>
          </w:divBdr>
        </w:div>
        <w:div w:id="632641905">
          <w:marLeft w:val="0"/>
          <w:marRight w:val="0"/>
          <w:marTop w:val="0"/>
          <w:marBottom w:val="0"/>
          <w:divBdr>
            <w:top w:val="none" w:sz="0" w:space="0" w:color="auto"/>
            <w:left w:val="none" w:sz="0" w:space="0" w:color="auto"/>
            <w:bottom w:val="none" w:sz="0" w:space="0" w:color="auto"/>
            <w:right w:val="none" w:sz="0" w:space="0" w:color="auto"/>
          </w:divBdr>
        </w:div>
        <w:div w:id="632641906">
          <w:marLeft w:val="0"/>
          <w:marRight w:val="0"/>
          <w:marTop w:val="0"/>
          <w:marBottom w:val="0"/>
          <w:divBdr>
            <w:top w:val="none" w:sz="0" w:space="0" w:color="auto"/>
            <w:left w:val="none" w:sz="0" w:space="0" w:color="auto"/>
            <w:bottom w:val="none" w:sz="0" w:space="0" w:color="auto"/>
            <w:right w:val="none" w:sz="0" w:space="0" w:color="auto"/>
          </w:divBdr>
        </w:div>
        <w:div w:id="632641910">
          <w:marLeft w:val="0"/>
          <w:marRight w:val="0"/>
          <w:marTop w:val="0"/>
          <w:marBottom w:val="0"/>
          <w:divBdr>
            <w:top w:val="none" w:sz="0" w:space="0" w:color="auto"/>
            <w:left w:val="none" w:sz="0" w:space="0" w:color="auto"/>
            <w:bottom w:val="none" w:sz="0" w:space="0" w:color="auto"/>
            <w:right w:val="none" w:sz="0" w:space="0" w:color="auto"/>
          </w:divBdr>
        </w:div>
        <w:div w:id="632641914">
          <w:marLeft w:val="0"/>
          <w:marRight w:val="0"/>
          <w:marTop w:val="0"/>
          <w:marBottom w:val="0"/>
          <w:divBdr>
            <w:top w:val="none" w:sz="0" w:space="0" w:color="auto"/>
            <w:left w:val="none" w:sz="0" w:space="0" w:color="auto"/>
            <w:bottom w:val="none" w:sz="0" w:space="0" w:color="auto"/>
            <w:right w:val="none" w:sz="0" w:space="0" w:color="auto"/>
          </w:divBdr>
        </w:div>
        <w:div w:id="632641915">
          <w:marLeft w:val="0"/>
          <w:marRight w:val="0"/>
          <w:marTop w:val="0"/>
          <w:marBottom w:val="0"/>
          <w:divBdr>
            <w:top w:val="none" w:sz="0" w:space="0" w:color="auto"/>
            <w:left w:val="none" w:sz="0" w:space="0" w:color="auto"/>
            <w:bottom w:val="none" w:sz="0" w:space="0" w:color="auto"/>
            <w:right w:val="none" w:sz="0" w:space="0" w:color="auto"/>
          </w:divBdr>
        </w:div>
      </w:divsChild>
    </w:div>
    <w:div w:id="632641904">
      <w:marLeft w:val="0"/>
      <w:marRight w:val="0"/>
      <w:marTop w:val="0"/>
      <w:marBottom w:val="0"/>
      <w:divBdr>
        <w:top w:val="none" w:sz="0" w:space="0" w:color="auto"/>
        <w:left w:val="none" w:sz="0" w:space="0" w:color="auto"/>
        <w:bottom w:val="none" w:sz="0" w:space="0" w:color="auto"/>
        <w:right w:val="none" w:sz="0" w:space="0" w:color="auto"/>
      </w:divBdr>
    </w:div>
    <w:div w:id="632641908">
      <w:marLeft w:val="0"/>
      <w:marRight w:val="0"/>
      <w:marTop w:val="0"/>
      <w:marBottom w:val="0"/>
      <w:divBdr>
        <w:top w:val="none" w:sz="0" w:space="0" w:color="auto"/>
        <w:left w:val="none" w:sz="0" w:space="0" w:color="auto"/>
        <w:bottom w:val="none" w:sz="0" w:space="0" w:color="auto"/>
        <w:right w:val="none" w:sz="0" w:space="0" w:color="auto"/>
      </w:divBdr>
      <w:divsChild>
        <w:div w:id="632641901">
          <w:marLeft w:val="0"/>
          <w:marRight w:val="0"/>
          <w:marTop w:val="0"/>
          <w:marBottom w:val="0"/>
          <w:divBdr>
            <w:top w:val="none" w:sz="0" w:space="0" w:color="auto"/>
            <w:left w:val="none" w:sz="0" w:space="0" w:color="auto"/>
            <w:bottom w:val="none" w:sz="0" w:space="0" w:color="auto"/>
            <w:right w:val="none" w:sz="0" w:space="0" w:color="auto"/>
          </w:divBdr>
        </w:div>
        <w:div w:id="632641907">
          <w:marLeft w:val="0"/>
          <w:marRight w:val="0"/>
          <w:marTop w:val="0"/>
          <w:marBottom w:val="0"/>
          <w:divBdr>
            <w:top w:val="none" w:sz="0" w:space="0" w:color="auto"/>
            <w:left w:val="none" w:sz="0" w:space="0" w:color="auto"/>
            <w:bottom w:val="none" w:sz="0" w:space="0" w:color="auto"/>
            <w:right w:val="none" w:sz="0" w:space="0" w:color="auto"/>
          </w:divBdr>
        </w:div>
        <w:div w:id="632641909">
          <w:marLeft w:val="0"/>
          <w:marRight w:val="0"/>
          <w:marTop w:val="0"/>
          <w:marBottom w:val="0"/>
          <w:divBdr>
            <w:top w:val="none" w:sz="0" w:space="0" w:color="auto"/>
            <w:left w:val="none" w:sz="0" w:space="0" w:color="auto"/>
            <w:bottom w:val="none" w:sz="0" w:space="0" w:color="auto"/>
            <w:right w:val="none" w:sz="0" w:space="0" w:color="auto"/>
          </w:divBdr>
        </w:div>
        <w:div w:id="632641911">
          <w:marLeft w:val="0"/>
          <w:marRight w:val="0"/>
          <w:marTop w:val="0"/>
          <w:marBottom w:val="0"/>
          <w:divBdr>
            <w:top w:val="none" w:sz="0" w:space="0" w:color="auto"/>
            <w:left w:val="none" w:sz="0" w:space="0" w:color="auto"/>
            <w:bottom w:val="none" w:sz="0" w:space="0" w:color="auto"/>
            <w:right w:val="none" w:sz="0" w:space="0" w:color="auto"/>
          </w:divBdr>
        </w:div>
        <w:div w:id="632641916">
          <w:marLeft w:val="0"/>
          <w:marRight w:val="0"/>
          <w:marTop w:val="0"/>
          <w:marBottom w:val="0"/>
          <w:divBdr>
            <w:top w:val="none" w:sz="0" w:space="0" w:color="auto"/>
            <w:left w:val="none" w:sz="0" w:space="0" w:color="auto"/>
            <w:bottom w:val="none" w:sz="0" w:space="0" w:color="auto"/>
            <w:right w:val="none" w:sz="0" w:space="0" w:color="auto"/>
          </w:divBdr>
        </w:div>
        <w:div w:id="632641921">
          <w:marLeft w:val="0"/>
          <w:marRight w:val="0"/>
          <w:marTop w:val="0"/>
          <w:marBottom w:val="0"/>
          <w:divBdr>
            <w:top w:val="none" w:sz="0" w:space="0" w:color="auto"/>
            <w:left w:val="none" w:sz="0" w:space="0" w:color="auto"/>
            <w:bottom w:val="none" w:sz="0" w:space="0" w:color="auto"/>
            <w:right w:val="none" w:sz="0" w:space="0" w:color="auto"/>
          </w:divBdr>
        </w:div>
        <w:div w:id="632641922">
          <w:marLeft w:val="0"/>
          <w:marRight w:val="0"/>
          <w:marTop w:val="0"/>
          <w:marBottom w:val="0"/>
          <w:divBdr>
            <w:top w:val="none" w:sz="0" w:space="0" w:color="auto"/>
            <w:left w:val="none" w:sz="0" w:space="0" w:color="auto"/>
            <w:bottom w:val="none" w:sz="0" w:space="0" w:color="auto"/>
            <w:right w:val="none" w:sz="0" w:space="0" w:color="auto"/>
          </w:divBdr>
        </w:div>
        <w:div w:id="632641923">
          <w:marLeft w:val="0"/>
          <w:marRight w:val="0"/>
          <w:marTop w:val="0"/>
          <w:marBottom w:val="0"/>
          <w:divBdr>
            <w:top w:val="none" w:sz="0" w:space="0" w:color="auto"/>
            <w:left w:val="none" w:sz="0" w:space="0" w:color="auto"/>
            <w:bottom w:val="none" w:sz="0" w:space="0" w:color="auto"/>
            <w:right w:val="none" w:sz="0" w:space="0" w:color="auto"/>
          </w:divBdr>
        </w:div>
      </w:divsChild>
    </w:div>
    <w:div w:id="632641912">
      <w:marLeft w:val="0"/>
      <w:marRight w:val="0"/>
      <w:marTop w:val="0"/>
      <w:marBottom w:val="0"/>
      <w:divBdr>
        <w:top w:val="none" w:sz="0" w:space="0" w:color="auto"/>
        <w:left w:val="none" w:sz="0" w:space="0" w:color="auto"/>
        <w:bottom w:val="none" w:sz="0" w:space="0" w:color="auto"/>
        <w:right w:val="none" w:sz="0" w:space="0" w:color="auto"/>
      </w:divBdr>
    </w:div>
    <w:div w:id="632641918">
      <w:marLeft w:val="0"/>
      <w:marRight w:val="0"/>
      <w:marTop w:val="0"/>
      <w:marBottom w:val="0"/>
      <w:divBdr>
        <w:top w:val="none" w:sz="0" w:space="0" w:color="auto"/>
        <w:left w:val="none" w:sz="0" w:space="0" w:color="auto"/>
        <w:bottom w:val="none" w:sz="0" w:space="0" w:color="auto"/>
        <w:right w:val="none" w:sz="0" w:space="0" w:color="auto"/>
      </w:divBdr>
    </w:div>
    <w:div w:id="632641920">
      <w:marLeft w:val="0"/>
      <w:marRight w:val="0"/>
      <w:marTop w:val="0"/>
      <w:marBottom w:val="0"/>
      <w:divBdr>
        <w:top w:val="none" w:sz="0" w:space="0" w:color="auto"/>
        <w:left w:val="none" w:sz="0" w:space="0" w:color="auto"/>
        <w:bottom w:val="none" w:sz="0" w:space="0" w:color="auto"/>
        <w:right w:val="none" w:sz="0" w:space="0" w:color="auto"/>
      </w:divBdr>
      <w:divsChild>
        <w:div w:id="632641898">
          <w:marLeft w:val="562"/>
          <w:marRight w:val="0"/>
          <w:marTop w:val="100"/>
          <w:marBottom w:val="0"/>
          <w:divBdr>
            <w:top w:val="none" w:sz="0" w:space="0" w:color="auto"/>
            <w:left w:val="none" w:sz="0" w:space="0" w:color="auto"/>
            <w:bottom w:val="none" w:sz="0" w:space="0" w:color="auto"/>
            <w:right w:val="none" w:sz="0" w:space="0" w:color="auto"/>
          </w:divBdr>
        </w:div>
        <w:div w:id="632641913">
          <w:marLeft w:val="562"/>
          <w:marRight w:val="0"/>
          <w:marTop w:val="100"/>
          <w:marBottom w:val="0"/>
          <w:divBdr>
            <w:top w:val="none" w:sz="0" w:space="0" w:color="auto"/>
            <w:left w:val="none" w:sz="0" w:space="0" w:color="auto"/>
            <w:bottom w:val="none" w:sz="0" w:space="0" w:color="auto"/>
            <w:right w:val="none" w:sz="0" w:space="0" w:color="auto"/>
          </w:divBdr>
        </w:div>
        <w:div w:id="632641917">
          <w:marLeft w:val="562"/>
          <w:marRight w:val="0"/>
          <w:marTop w:val="100"/>
          <w:marBottom w:val="0"/>
          <w:divBdr>
            <w:top w:val="none" w:sz="0" w:space="0" w:color="auto"/>
            <w:left w:val="none" w:sz="0" w:space="0" w:color="auto"/>
            <w:bottom w:val="none" w:sz="0" w:space="0" w:color="auto"/>
            <w:right w:val="none" w:sz="0" w:space="0" w:color="auto"/>
          </w:divBdr>
        </w:div>
        <w:div w:id="632641919">
          <w:marLeft w:val="562"/>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inance.gov.mk"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94</Pages>
  <Words>20568</Words>
  <Characters>-32766</Characters>
  <Application>Microsoft Office Outlook</Application>
  <DocSecurity>0</DocSecurity>
  <Lines>0</Lines>
  <Paragraphs>0</Paragraphs>
  <ScaleCrop>false</ScaleCrop>
  <Company>mtsp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Valli</dc:creator>
  <cp:keywords/>
  <dc:description/>
  <cp:lastModifiedBy>daniela.jovanova2</cp:lastModifiedBy>
  <cp:revision>2</cp:revision>
  <cp:lastPrinted>2016-02-25T13:24:00Z</cp:lastPrinted>
  <dcterms:created xsi:type="dcterms:W3CDTF">2016-03-07T14:37:00Z</dcterms:created>
  <dcterms:modified xsi:type="dcterms:W3CDTF">2016-03-07T14:37:00Z</dcterms:modified>
</cp:coreProperties>
</file>