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BDD77" w14:textId="255A67A3" w:rsidR="00507149" w:rsidRPr="00507149" w:rsidRDefault="00507149" w:rsidP="00507149">
      <w:pPr>
        <w:suppressAutoHyphens w:val="0"/>
        <w:spacing w:line="276" w:lineRule="auto"/>
        <w:ind w:firstLine="720"/>
        <w:rPr>
          <w:sz w:val="22"/>
          <w:szCs w:val="22"/>
        </w:rPr>
      </w:pPr>
      <w:r>
        <w:rPr>
          <w:sz w:val="22"/>
          <w:szCs w:val="22"/>
        </w:rPr>
        <w:t>Барање 14-2599/1</w:t>
      </w:r>
      <w:bookmarkStart w:id="0" w:name="_GoBack"/>
      <w:bookmarkEnd w:id="0"/>
    </w:p>
    <w:p w14:paraId="3B4CBDEE" w14:textId="2A362951" w:rsidR="00507149" w:rsidRPr="0096594A" w:rsidRDefault="00507149" w:rsidP="00507149">
      <w:pPr>
        <w:suppressAutoHyphens w:val="0"/>
        <w:spacing w:line="276" w:lineRule="auto"/>
        <w:ind w:firstLine="720"/>
        <w:rPr>
          <w:sz w:val="22"/>
          <w:szCs w:val="22"/>
        </w:rPr>
      </w:pPr>
      <w:r w:rsidRPr="0096594A">
        <w:rPr>
          <w:sz w:val="22"/>
          <w:szCs w:val="22"/>
          <w:lang w:val="en-US"/>
        </w:rPr>
        <w:t>1</w:t>
      </w:r>
      <w:r w:rsidRPr="0096594A">
        <w:rPr>
          <w:sz w:val="22"/>
          <w:szCs w:val="22"/>
        </w:rPr>
        <w:t>. Насоки за регрутирање по пол; Каков вид на квоти има за регрутирање по пол? Кои се насоките? Какви процедури за унапредување на полот се користат за државните службеници?</w:t>
      </w:r>
    </w:p>
    <w:p w14:paraId="0A1F255C" w14:textId="77777777" w:rsidR="00507149" w:rsidRDefault="00507149" w:rsidP="00507149">
      <w:pPr>
        <w:suppressAutoHyphens w:val="0"/>
        <w:spacing w:line="276" w:lineRule="auto"/>
        <w:ind w:firstLine="720"/>
      </w:pPr>
    </w:p>
    <w:p w14:paraId="67E9025A" w14:textId="77777777" w:rsidR="00507149" w:rsidRDefault="00507149" w:rsidP="00507149">
      <w:pPr>
        <w:rPr>
          <w:rFonts w:ascii="StobiSerif Regular" w:hAnsi="StobiSerif Regular" w:cs="Calibri"/>
          <w:sz w:val="22"/>
          <w:szCs w:val="22"/>
        </w:rPr>
      </w:pPr>
      <w:r w:rsidRPr="00056BD6">
        <w:rPr>
          <w:sz w:val="22"/>
          <w:szCs w:val="22"/>
          <w:lang w:val="en-US"/>
        </w:rPr>
        <w:t xml:space="preserve">- </w:t>
      </w:r>
      <w:r w:rsidRPr="00056BD6">
        <w:rPr>
          <w:rFonts w:ascii="StobiSerif Regular" w:hAnsi="StobiSerif Regular" w:cs="Calibri"/>
          <w:sz w:val="22"/>
          <w:szCs w:val="22"/>
        </w:rPr>
        <w:t>Во врска со видот на квоти за регрутирање по пол МТСП не располага со такви податоци. Ве упатуваме за овие податоци да се обратите до МИОА и Агенцијата за администрација.</w:t>
      </w:r>
    </w:p>
    <w:p w14:paraId="710C1EEB" w14:textId="77777777" w:rsidR="00507149" w:rsidRPr="00056BD6" w:rsidRDefault="00507149" w:rsidP="00507149">
      <w:pPr>
        <w:rPr>
          <w:rFonts w:ascii="StobiSerif Regular" w:hAnsi="StobiSerif Regular" w:cs="Calibri"/>
          <w:sz w:val="22"/>
          <w:szCs w:val="22"/>
        </w:rPr>
      </w:pPr>
      <w:r w:rsidRPr="00056BD6">
        <w:rPr>
          <w:rFonts w:ascii="StobiSerif Regular" w:hAnsi="StobiSerif Regular" w:cs="Calibri"/>
          <w:sz w:val="22"/>
          <w:szCs w:val="22"/>
        </w:rPr>
        <w:t xml:space="preserve"> </w:t>
      </w:r>
    </w:p>
    <w:p w14:paraId="790B109C" w14:textId="77777777" w:rsidR="00507149" w:rsidRPr="0096594A" w:rsidRDefault="00507149" w:rsidP="00507149">
      <w:pPr>
        <w:suppressAutoHyphens w:val="0"/>
        <w:spacing w:line="276" w:lineRule="auto"/>
        <w:ind w:firstLine="720"/>
        <w:rPr>
          <w:sz w:val="22"/>
          <w:szCs w:val="22"/>
        </w:rPr>
      </w:pPr>
      <w:r w:rsidRPr="0096594A">
        <w:rPr>
          <w:sz w:val="22"/>
          <w:szCs w:val="22"/>
        </w:rPr>
        <w:t xml:space="preserve"> </w:t>
      </w:r>
      <w:r w:rsidRPr="0096594A">
        <w:rPr>
          <w:sz w:val="22"/>
          <w:szCs w:val="22"/>
          <w:lang w:val="en-US"/>
        </w:rPr>
        <w:t>2</w:t>
      </w:r>
      <w:r w:rsidRPr="0096594A">
        <w:rPr>
          <w:sz w:val="22"/>
          <w:szCs w:val="22"/>
        </w:rPr>
        <w:t>. Колкави се реалните удели на вработените во јавниот сектор по пол? Можете ли да дадете некоја статистика која ќе го покаже вистинскиот удел на вработените во јавниот сектор по пол?</w:t>
      </w:r>
    </w:p>
    <w:p w14:paraId="38891899" w14:textId="77777777" w:rsidR="00507149" w:rsidRDefault="00507149" w:rsidP="00507149">
      <w:pPr>
        <w:suppressAutoHyphens w:val="0"/>
        <w:spacing w:line="276" w:lineRule="auto"/>
        <w:ind w:firstLine="720"/>
      </w:pPr>
      <w:r>
        <w:t xml:space="preserve"> </w:t>
      </w:r>
    </w:p>
    <w:p w14:paraId="7E817D05" w14:textId="77777777" w:rsidR="00507149" w:rsidRPr="00056BD6" w:rsidRDefault="00507149" w:rsidP="00507149">
      <w:pPr>
        <w:pStyle w:val="ListParagraph"/>
        <w:suppressAutoHyphens w:val="0"/>
        <w:spacing w:after="120" w:line="240" w:lineRule="auto"/>
        <w:ind w:left="0"/>
        <w:contextualSpacing w:val="0"/>
        <w:rPr>
          <w:rFonts w:ascii="StobiSerif Regular" w:hAnsi="StobiSerif Regular"/>
          <w:highlight w:val="cyan"/>
        </w:rPr>
      </w:pPr>
      <w:r w:rsidRPr="00056BD6">
        <w:rPr>
          <w:lang w:val="en-US"/>
        </w:rPr>
        <w:t xml:space="preserve">- </w:t>
      </w:r>
      <w:r w:rsidRPr="00056BD6">
        <w:rPr>
          <w:rFonts w:ascii="StobiSerif Regular" w:hAnsi="StobiSerif Regular" w:cs="Calibri"/>
        </w:rPr>
        <w:t xml:space="preserve"> Согласно податоците од страна на Државен завод за статистика </w:t>
      </w:r>
      <w:r w:rsidRPr="00056BD6">
        <w:rPr>
          <w:rFonts w:ascii="StobiSerif Regular" w:hAnsi="StobiSerif Regular"/>
        </w:rPr>
        <w:t>мажите сочинуваат 100 % од бројот на извршни директори и 75 % од бројот на раководните лица во јавно објавените компании во РСМ (ЕИРЕ 2020). Општо земено, мажите сочинуваат 73,3 % од вкупниот број работодавци и 78 % од бројот на самовработени лица, додека жените доминираат само во категоријата неплатени семејни работници (ДЗС 2020). При хоризонтална анализа на нееднаквостите, професионалната сегрегација сугерира дека жените се прекумерно застапени во несигурните, слабо платените индустрии какви што се текстилната, кожарската и конфекциската, каде што 80 % од вработените се жени. Според официјалната статистика, 51,9% од не активното женско население (на возраст од 15 до 64 години) не бара вработување поради семејни обврски/грижа за семејството. Од не активното женско население на работоспособна возраст, во официјалната државна статистика, 55 % се регистрирани како „домаќинки“ – категорија што упорно и стопроцентно ги опфаќа жените (ДЗС 2020). Во просек, жените во РСМ извршуваат 72,5 % од вкупната неплатена работа поврзана со грижа, додека придонесот на мажите одвај надминува една четвртина од вкупниот обем на неплатената работа. На дневна основа, во споредба со мажите, жените трошат 18-пати повеќе време за миење садови, 12-пати повеќе време за чистење, 9-пати повеќе време за готвење и 3- пати повеќе време за грижа околу децата (ДЗС). Кога станува збор за економијата, како и</w:t>
      </w:r>
    </w:p>
    <w:p w14:paraId="48A6280B" w14:textId="77777777" w:rsidR="00507149" w:rsidRPr="00056BD6" w:rsidRDefault="00507149" w:rsidP="00507149">
      <w:pPr>
        <w:suppressAutoHyphens w:val="0"/>
        <w:spacing w:after="120"/>
        <w:rPr>
          <w:rFonts w:ascii="StobiSerif Regular" w:hAnsi="StobiSerif Regular"/>
          <w:sz w:val="22"/>
          <w:szCs w:val="22"/>
        </w:rPr>
      </w:pPr>
      <w:r w:rsidRPr="00056BD6">
        <w:rPr>
          <w:rFonts w:ascii="StobiSerif Regular" w:hAnsi="StobiSerif Regular"/>
          <w:sz w:val="22"/>
          <w:szCs w:val="22"/>
        </w:rPr>
        <w:t xml:space="preserve">Учеството на жените и мажите во јавниот сектор е </w:t>
      </w:r>
      <w:proofErr w:type="spellStart"/>
      <w:r w:rsidRPr="00056BD6">
        <w:rPr>
          <w:rFonts w:ascii="StobiSerif Regular" w:hAnsi="StobiSerif Regular"/>
          <w:sz w:val="22"/>
          <w:szCs w:val="22"/>
        </w:rPr>
        <w:t>избалансиранo</w:t>
      </w:r>
      <w:proofErr w:type="spellEnd"/>
      <w:r w:rsidRPr="00056BD6">
        <w:rPr>
          <w:rFonts w:ascii="StobiSerif Regular" w:hAnsi="StobiSerif Regular"/>
          <w:sz w:val="22"/>
          <w:szCs w:val="22"/>
        </w:rPr>
        <w:t>, но учеството на жените на ниво на извршни функции сѐ уште е многу ниско. Што се однесува на жените во јавниот сектор, треба да се забележи дека нивното учество во политиката се подобрува како резултат од постојаното подобрување на изборната регулатива. Во јавниот сектор постои родов паритет, при што од вработените во јавниот сектор, од вкупно 112.777 вработени, жените се застапени со бројност од 62.356, односно 55,29 %, додека мажите се застапени со бројност од 50.421, односно 44,71 %.</w:t>
      </w:r>
    </w:p>
    <w:p w14:paraId="295B1852" w14:textId="77777777" w:rsidR="00507149" w:rsidRDefault="00507149" w:rsidP="00507149">
      <w:pPr>
        <w:suppressAutoHyphens w:val="0"/>
        <w:spacing w:line="276" w:lineRule="auto"/>
        <w:ind w:firstLine="720"/>
        <w:rPr>
          <w:sz w:val="22"/>
          <w:szCs w:val="22"/>
        </w:rPr>
      </w:pPr>
      <w:r>
        <w:rPr>
          <w:sz w:val="22"/>
          <w:szCs w:val="22"/>
          <w:lang w:val="en-US"/>
        </w:rPr>
        <w:t>3</w:t>
      </w:r>
      <w:r w:rsidRPr="00056BD6">
        <w:rPr>
          <w:sz w:val="22"/>
          <w:szCs w:val="22"/>
        </w:rPr>
        <w:t>. Кои се практиките на родово буџетирање (доколку ги има) што се насочени кон државните службеници?</w:t>
      </w:r>
    </w:p>
    <w:p w14:paraId="26C0D1F7" w14:textId="77777777" w:rsidR="00507149" w:rsidRPr="00056BD6" w:rsidRDefault="00507149" w:rsidP="00507149">
      <w:pPr>
        <w:suppressAutoHyphens w:val="0"/>
        <w:spacing w:line="276" w:lineRule="auto"/>
        <w:ind w:firstLine="720"/>
        <w:rPr>
          <w:sz w:val="22"/>
          <w:szCs w:val="22"/>
        </w:rPr>
      </w:pPr>
      <w:r w:rsidRPr="00056BD6">
        <w:rPr>
          <w:sz w:val="22"/>
          <w:szCs w:val="22"/>
        </w:rPr>
        <w:t xml:space="preserve"> </w:t>
      </w:r>
    </w:p>
    <w:p w14:paraId="4E43B1D8" w14:textId="77777777" w:rsidR="00507149" w:rsidRPr="00056BD6" w:rsidRDefault="00507149" w:rsidP="00507149">
      <w:pPr>
        <w:rPr>
          <w:sz w:val="22"/>
          <w:szCs w:val="22"/>
        </w:rPr>
      </w:pPr>
      <w:r>
        <w:rPr>
          <w:rFonts w:ascii="StobiSerif Regular" w:hAnsi="StobiSerif Regular" w:cs="Calibri"/>
          <w:sz w:val="22"/>
          <w:szCs w:val="22"/>
          <w:lang w:val="en-US"/>
        </w:rPr>
        <w:t xml:space="preserve">- </w:t>
      </w:r>
      <w:r w:rsidRPr="00056BD6">
        <w:rPr>
          <w:rFonts w:ascii="StobiSerif Regular" w:hAnsi="StobiSerif Regular"/>
          <w:sz w:val="22"/>
          <w:szCs w:val="22"/>
        </w:rPr>
        <w:t xml:space="preserve">Според </w:t>
      </w:r>
      <w:proofErr w:type="gramStart"/>
      <w:r w:rsidRPr="00056BD6">
        <w:rPr>
          <w:rFonts w:ascii="StobiSerif Regular" w:hAnsi="StobiSerif Regular"/>
          <w:sz w:val="22"/>
          <w:szCs w:val="22"/>
        </w:rPr>
        <w:t>Методологијата  за</w:t>
      </w:r>
      <w:proofErr w:type="gramEnd"/>
      <w:r w:rsidRPr="00056BD6">
        <w:rPr>
          <w:rFonts w:ascii="StobiSerif Regular" w:hAnsi="StobiSerif Regular"/>
          <w:sz w:val="22"/>
          <w:szCs w:val="22"/>
        </w:rPr>
        <w:t xml:space="preserve"> родово одговорно буџетирање , обврска на министерствата  е програмата која е во процесот на родово одговорно буџетирање  да се следи и известува за преземените активности и интервенции кои се во насока  на намалување на родовата нееднаквост  во  период од три години. Во извештајот за 2023 година до МТСП се стигнати 12 Иницијативи за родово одговорно буџетирање односно 11 министерства и една Агенција кои имаат Родово одговорни иницијативи покренати во нивните институции.</w:t>
      </w:r>
      <w:r w:rsidRPr="00056BD6">
        <w:rPr>
          <w:sz w:val="22"/>
          <w:szCs w:val="22"/>
        </w:rPr>
        <w:t xml:space="preserve"> </w:t>
      </w:r>
    </w:p>
    <w:p w14:paraId="160A7F64" w14:textId="77777777" w:rsidR="00507149" w:rsidRPr="00056BD6" w:rsidRDefault="00507149" w:rsidP="00507149">
      <w:pPr>
        <w:rPr>
          <w:rFonts w:ascii="StobiSerif Regular" w:hAnsi="StobiSerif Regular"/>
          <w:sz w:val="22"/>
          <w:szCs w:val="22"/>
        </w:rPr>
      </w:pPr>
    </w:p>
    <w:p w14:paraId="2BC5E397" w14:textId="77777777" w:rsidR="00507149" w:rsidRPr="00056BD6" w:rsidRDefault="00507149" w:rsidP="00507149">
      <w:pPr>
        <w:rPr>
          <w:rFonts w:ascii="StobiSerif Regular" w:hAnsi="StobiSerif Regular"/>
          <w:sz w:val="22"/>
          <w:szCs w:val="22"/>
        </w:rPr>
      </w:pPr>
      <w:r w:rsidRPr="00056BD6">
        <w:rPr>
          <w:rFonts w:ascii="StobiSerif Regular" w:hAnsi="StobiSerif Regular"/>
          <w:sz w:val="22"/>
          <w:szCs w:val="22"/>
        </w:rPr>
        <w:t xml:space="preserve">Програмите кои се насочени кон државните службеници се од </w:t>
      </w:r>
    </w:p>
    <w:p w14:paraId="61B8DD89" w14:textId="77777777" w:rsidR="00507149" w:rsidRPr="00056BD6" w:rsidRDefault="00507149" w:rsidP="00507149">
      <w:pPr>
        <w:rPr>
          <w:rFonts w:ascii="StobiSerif Regular" w:hAnsi="StobiSerif Regular"/>
          <w:sz w:val="22"/>
          <w:szCs w:val="22"/>
        </w:rPr>
      </w:pPr>
    </w:p>
    <w:p w14:paraId="0C17CE21" w14:textId="77777777" w:rsidR="00507149" w:rsidRPr="00056BD6" w:rsidRDefault="00507149" w:rsidP="00507149">
      <w:pPr>
        <w:pStyle w:val="ListParagraph"/>
        <w:numPr>
          <w:ilvl w:val="0"/>
          <w:numId w:val="1"/>
        </w:numPr>
        <w:rPr>
          <w:rFonts w:ascii="StobiSerif Regular" w:hAnsi="StobiSerif Regular"/>
        </w:rPr>
      </w:pPr>
      <w:r w:rsidRPr="00056BD6">
        <w:rPr>
          <w:rFonts w:ascii="StobiSerif Regular" w:hAnsi="StobiSerif Regular"/>
          <w:b/>
        </w:rPr>
        <w:lastRenderedPageBreak/>
        <w:t>Министерство за одбрана</w:t>
      </w:r>
      <w:r w:rsidRPr="00056BD6">
        <w:rPr>
          <w:rFonts w:ascii="StobiSerif Regular" w:hAnsi="StobiSerif Regular"/>
        </w:rPr>
        <w:t xml:space="preserve"> – Стручно оспособување и усовршување во земјата и странство – </w:t>
      </w:r>
    </w:p>
    <w:p w14:paraId="084B770C" w14:textId="77777777" w:rsidR="00507149" w:rsidRPr="00056BD6" w:rsidRDefault="00507149" w:rsidP="00507149">
      <w:pPr>
        <w:pStyle w:val="ListParagraph"/>
        <w:numPr>
          <w:ilvl w:val="0"/>
          <w:numId w:val="1"/>
        </w:numPr>
        <w:rPr>
          <w:rFonts w:ascii="StobiSerif Regular" w:hAnsi="StobiSerif Regular"/>
        </w:rPr>
      </w:pPr>
      <w:r w:rsidRPr="00056BD6">
        <w:rPr>
          <w:rFonts w:ascii="StobiSerif Regular" w:hAnsi="StobiSerif Regular"/>
          <w:b/>
        </w:rPr>
        <w:t>Министерство за надворешни работи</w:t>
      </w:r>
      <w:r w:rsidRPr="00056BD6">
        <w:rPr>
          <w:rFonts w:ascii="StobiSerif Regular" w:hAnsi="StobiSerif Regular"/>
        </w:rPr>
        <w:t xml:space="preserve"> –</w:t>
      </w:r>
      <w:r w:rsidRPr="00056BD6">
        <w:t xml:space="preserve"> Претседавање на РСМ ОБСЕ</w:t>
      </w:r>
      <w:r w:rsidRPr="00056BD6">
        <w:rPr>
          <w:lang w:val="en-US"/>
        </w:rPr>
        <w:t>-</w:t>
      </w:r>
      <w:r w:rsidRPr="00056BD6">
        <w:rPr>
          <w:rFonts w:ascii="StobiSerif Regular" w:hAnsi="StobiSerif Regular"/>
        </w:rPr>
        <w:t xml:space="preserve"> Организирање на Конференција за жените во дипломатијата </w:t>
      </w:r>
    </w:p>
    <w:p w14:paraId="5222BD88" w14:textId="77777777" w:rsidR="00507149" w:rsidRPr="00056BD6" w:rsidRDefault="00507149" w:rsidP="00507149">
      <w:pPr>
        <w:pStyle w:val="ListParagraph"/>
        <w:numPr>
          <w:ilvl w:val="0"/>
          <w:numId w:val="1"/>
        </w:numPr>
        <w:rPr>
          <w:rFonts w:ascii="StobiSerif Regular" w:hAnsi="StobiSerif Regular"/>
        </w:rPr>
      </w:pPr>
      <w:r w:rsidRPr="00056BD6">
        <w:rPr>
          <w:rFonts w:ascii="StobiSerif Regular" w:hAnsi="StobiSerif Regular"/>
          <w:b/>
        </w:rPr>
        <w:t>Министерство за образование и наука</w:t>
      </w:r>
      <w:r w:rsidRPr="00056BD6">
        <w:rPr>
          <w:rFonts w:ascii="StobiSerif Regular" w:hAnsi="StobiSerif Regular"/>
          <w:b/>
          <w:lang w:val="en-US"/>
        </w:rPr>
        <w:t xml:space="preserve"> - </w:t>
      </w:r>
      <w:r w:rsidRPr="00056BD6">
        <w:rPr>
          <w:rFonts w:ascii="StobiSerif Regular" w:hAnsi="StobiSerif Regular"/>
        </w:rPr>
        <w:t>Реформа на средно стручно образование</w:t>
      </w:r>
    </w:p>
    <w:p w14:paraId="19CDF0C3" w14:textId="77777777" w:rsidR="00507149" w:rsidRPr="00056BD6" w:rsidRDefault="00507149" w:rsidP="00507149">
      <w:pPr>
        <w:pStyle w:val="ListParagraph"/>
        <w:numPr>
          <w:ilvl w:val="0"/>
          <w:numId w:val="1"/>
        </w:numPr>
        <w:rPr>
          <w:rFonts w:ascii="StobiSerif Regular" w:hAnsi="StobiSerif Regular"/>
          <w:b/>
        </w:rPr>
      </w:pPr>
      <w:r w:rsidRPr="00056BD6">
        <w:rPr>
          <w:rFonts w:ascii="StobiSerif Regular" w:hAnsi="StobiSerif Regular"/>
          <w:b/>
        </w:rPr>
        <w:t>Министерство за економија</w:t>
      </w:r>
      <w:r w:rsidRPr="00056BD6">
        <w:rPr>
          <w:rFonts w:ascii="StobiSerif Regular" w:hAnsi="StobiSerif Regular"/>
          <w:b/>
          <w:lang w:val="en-US"/>
        </w:rPr>
        <w:t>-</w:t>
      </w:r>
      <w:r w:rsidRPr="00056BD6">
        <w:rPr>
          <w:rFonts w:ascii="StobiSerif Regular" w:hAnsi="StobiSerif Regular"/>
        </w:rPr>
        <w:t xml:space="preserve"> Поддршка на занаетчиството во Република Северна Македонија</w:t>
      </w:r>
    </w:p>
    <w:p w14:paraId="0C9A20F7" w14:textId="77777777" w:rsidR="00507149" w:rsidRPr="00056BD6" w:rsidRDefault="00507149" w:rsidP="00507149">
      <w:pPr>
        <w:pStyle w:val="ListParagraph"/>
        <w:numPr>
          <w:ilvl w:val="0"/>
          <w:numId w:val="1"/>
        </w:numPr>
        <w:rPr>
          <w:rFonts w:ascii="StobiSerif Regular" w:hAnsi="StobiSerif Regular"/>
        </w:rPr>
      </w:pPr>
      <w:r w:rsidRPr="00056BD6">
        <w:rPr>
          <w:rFonts w:ascii="StobiSerif Regular" w:hAnsi="StobiSerif Regular"/>
          <w:b/>
        </w:rPr>
        <w:t>Министерство за информатичко општество и администрација</w:t>
      </w:r>
      <w:r w:rsidRPr="00056BD6">
        <w:rPr>
          <w:rFonts w:ascii="StobiSerif Regular" w:hAnsi="StobiSerif Regular"/>
        </w:rPr>
        <w:t xml:space="preserve"> - Е-обука   за родова еднаквост на административните службеници - Надградба  и одржување на Информацискиот систем  за управување  со човечки ресурси  обезбедува  родово разделена статистика  за вработените во јавниот сектор</w:t>
      </w:r>
    </w:p>
    <w:p w14:paraId="0FEF5915" w14:textId="77777777" w:rsidR="00507149" w:rsidRPr="00056BD6" w:rsidRDefault="00507149" w:rsidP="00507149">
      <w:pPr>
        <w:pStyle w:val="ListParagraph"/>
        <w:numPr>
          <w:ilvl w:val="0"/>
          <w:numId w:val="1"/>
        </w:numPr>
        <w:rPr>
          <w:rFonts w:ascii="StobiSerif Regular" w:hAnsi="StobiSerif Regular"/>
        </w:rPr>
      </w:pPr>
      <w:r w:rsidRPr="00056BD6">
        <w:rPr>
          <w:rFonts w:ascii="StobiSerif Regular" w:hAnsi="StobiSerif Regular"/>
          <w:b/>
        </w:rPr>
        <w:t>Министерство за животна средина и просторно планирање</w:t>
      </w:r>
      <w:r w:rsidRPr="00056BD6">
        <w:rPr>
          <w:rFonts w:ascii="StobiSerif Regular" w:hAnsi="StobiSerif Regular"/>
          <w:b/>
          <w:lang w:val="en-US"/>
        </w:rPr>
        <w:t xml:space="preserve"> - </w:t>
      </w:r>
      <w:r w:rsidRPr="00056BD6">
        <w:rPr>
          <w:rFonts w:ascii="StobiSerif Regular" w:hAnsi="StobiSerif Regular"/>
        </w:rPr>
        <w:t>Програма за инвестирање во животна средина</w:t>
      </w:r>
    </w:p>
    <w:p w14:paraId="6C393AB1" w14:textId="77777777" w:rsidR="00507149" w:rsidRPr="00056BD6" w:rsidRDefault="00507149" w:rsidP="00507149">
      <w:pPr>
        <w:pStyle w:val="ListParagraph"/>
        <w:numPr>
          <w:ilvl w:val="0"/>
          <w:numId w:val="1"/>
        </w:numPr>
        <w:rPr>
          <w:rFonts w:ascii="StobiSerif Regular" w:hAnsi="StobiSerif Regular"/>
        </w:rPr>
      </w:pPr>
      <w:r w:rsidRPr="00056BD6">
        <w:rPr>
          <w:rFonts w:ascii="StobiSerif Regular" w:hAnsi="StobiSerif Regular"/>
          <w:b/>
        </w:rPr>
        <w:t>Министерство за правда</w:t>
      </w:r>
      <w:r w:rsidRPr="00056BD6">
        <w:rPr>
          <w:rFonts w:ascii="StobiSerif Regular" w:hAnsi="StobiSerif Regular"/>
          <w:b/>
          <w:lang w:val="en-US"/>
        </w:rPr>
        <w:t xml:space="preserve"> - </w:t>
      </w:r>
      <w:r w:rsidRPr="00056BD6">
        <w:rPr>
          <w:rFonts w:ascii="StobiSerif Regular" w:hAnsi="StobiSerif Regular"/>
        </w:rPr>
        <w:t>Бесплатна правна помош</w:t>
      </w:r>
    </w:p>
    <w:p w14:paraId="6A8D7DC0" w14:textId="77777777" w:rsidR="00507149" w:rsidRPr="00056BD6" w:rsidRDefault="00507149" w:rsidP="00507149">
      <w:pPr>
        <w:pStyle w:val="ListParagraph"/>
        <w:numPr>
          <w:ilvl w:val="0"/>
          <w:numId w:val="1"/>
        </w:numPr>
        <w:rPr>
          <w:rFonts w:ascii="StobiSerif Regular" w:hAnsi="StobiSerif Regular"/>
        </w:rPr>
      </w:pPr>
      <w:r w:rsidRPr="00056BD6">
        <w:rPr>
          <w:rFonts w:ascii="StobiSerif Regular" w:hAnsi="StobiSerif Regular"/>
          <w:b/>
        </w:rPr>
        <w:t>Министерство за култура</w:t>
      </w:r>
      <w:r w:rsidRPr="00056BD6">
        <w:rPr>
          <w:rFonts w:ascii="StobiSerif Regular" w:hAnsi="StobiSerif Regular"/>
          <w:b/>
          <w:lang w:val="en-US"/>
        </w:rPr>
        <w:t xml:space="preserve"> - </w:t>
      </w:r>
      <w:r w:rsidRPr="00056BD6">
        <w:rPr>
          <w:rFonts w:ascii="StobiSerif Regular" w:hAnsi="StobiSerif Regular"/>
        </w:rPr>
        <w:t>Мултидисциплинарни  програми</w:t>
      </w:r>
    </w:p>
    <w:p w14:paraId="511E2CDB" w14:textId="77777777" w:rsidR="00507149" w:rsidRPr="00056BD6" w:rsidRDefault="00507149" w:rsidP="00507149">
      <w:pPr>
        <w:pStyle w:val="ListParagraph"/>
        <w:numPr>
          <w:ilvl w:val="0"/>
          <w:numId w:val="1"/>
        </w:numPr>
        <w:rPr>
          <w:rFonts w:ascii="StobiSerif Regular" w:hAnsi="StobiSerif Regular"/>
        </w:rPr>
      </w:pPr>
      <w:r w:rsidRPr="00056BD6">
        <w:rPr>
          <w:rFonts w:ascii="StobiSerif Regular" w:hAnsi="StobiSerif Regular"/>
          <w:b/>
        </w:rPr>
        <w:t xml:space="preserve">Министерство за труд и социјална политика </w:t>
      </w:r>
      <w:r w:rsidRPr="00056BD6">
        <w:rPr>
          <w:rFonts w:ascii="StobiSerif Regular" w:hAnsi="StobiSerif Regular"/>
        </w:rPr>
        <w:t xml:space="preserve">- Поттикнување на вработувањето на невработените лица во микро, мали и средни претпријатија, социјални претпријатија;   </w:t>
      </w:r>
    </w:p>
    <w:p w14:paraId="0DAB9BF0" w14:textId="77777777" w:rsidR="00507149" w:rsidRPr="00056BD6" w:rsidRDefault="00507149" w:rsidP="00507149">
      <w:pPr>
        <w:pStyle w:val="ListParagraph"/>
        <w:numPr>
          <w:ilvl w:val="0"/>
          <w:numId w:val="1"/>
        </w:numPr>
        <w:rPr>
          <w:rFonts w:ascii="StobiSerif Regular" w:eastAsia="Calibri" w:hAnsi="StobiSerif Regular"/>
        </w:rPr>
      </w:pPr>
      <w:r w:rsidRPr="00056BD6">
        <w:rPr>
          <w:rFonts w:ascii="StobiSerif Regular" w:hAnsi="StobiSerif Regular"/>
          <w:b/>
        </w:rPr>
        <w:t>Министерство за внатрешни работи</w:t>
      </w:r>
      <w:r w:rsidRPr="00056BD6">
        <w:rPr>
          <w:rFonts w:ascii="StobiSerif Regular" w:hAnsi="StobiSerif Regular"/>
        </w:rPr>
        <w:t xml:space="preserve"> - </w:t>
      </w:r>
      <w:r w:rsidRPr="00056BD6">
        <w:rPr>
          <w:rFonts w:ascii="StobiSerif Regular" w:eastAsia="Calibri" w:hAnsi="StobiSerif Regular"/>
        </w:rPr>
        <w:t>Зајакнување на капацитетите на координативните структури заради ефикасно и ефективно работење;</w:t>
      </w:r>
    </w:p>
    <w:p w14:paraId="0B89F984" w14:textId="77777777" w:rsidR="00507149" w:rsidRPr="00056BD6" w:rsidRDefault="00507149" w:rsidP="00507149">
      <w:pPr>
        <w:pStyle w:val="ListParagraph"/>
        <w:numPr>
          <w:ilvl w:val="0"/>
          <w:numId w:val="1"/>
        </w:numPr>
        <w:rPr>
          <w:rFonts w:ascii="StobiSerif Regular" w:eastAsia="Calibri" w:hAnsi="StobiSerif Regular"/>
        </w:rPr>
      </w:pPr>
      <w:r w:rsidRPr="00056BD6">
        <w:rPr>
          <w:rFonts w:ascii="StobiSerif Regular" w:hAnsi="StobiSerif Regular"/>
          <w:b/>
        </w:rPr>
        <w:t>Агенција за поддршка на претприемништвото на РСМ</w:t>
      </w:r>
      <w:r w:rsidRPr="00056BD6">
        <w:rPr>
          <w:rFonts w:ascii="StobiSerif Regular" w:hAnsi="StobiSerif Regular"/>
          <w:b/>
          <w:lang w:val="en-US"/>
        </w:rPr>
        <w:t xml:space="preserve">  - </w:t>
      </w:r>
      <w:r w:rsidRPr="00056BD6">
        <w:rPr>
          <w:rFonts w:ascii="StobiSerif Regular" w:hAnsi="StobiSerif Regular"/>
          <w:lang w:eastAsia="fi-FI"/>
        </w:rPr>
        <w:t xml:space="preserve">Програма за поддршка на претприемништвото, конкурентноста и иновативноста на малите и средните претпријатија во 2023 година </w:t>
      </w:r>
    </w:p>
    <w:p w14:paraId="473600B0" w14:textId="77777777" w:rsidR="00507149" w:rsidRPr="0096594A" w:rsidRDefault="00507149" w:rsidP="00507149">
      <w:pPr>
        <w:suppressAutoHyphens w:val="0"/>
        <w:spacing w:line="276" w:lineRule="auto"/>
        <w:ind w:firstLine="720"/>
        <w:rPr>
          <w:sz w:val="22"/>
          <w:szCs w:val="22"/>
        </w:rPr>
      </w:pPr>
      <w:r w:rsidRPr="0096594A">
        <w:rPr>
          <w:sz w:val="22"/>
          <w:szCs w:val="22"/>
          <w:lang w:val="en-US"/>
        </w:rPr>
        <w:t>4</w:t>
      </w:r>
      <w:r w:rsidRPr="0096594A">
        <w:rPr>
          <w:sz w:val="22"/>
          <w:szCs w:val="22"/>
        </w:rPr>
        <w:t>. Какви закони, политики и регулативи се во сила што ја таргетираат родовата застапеност?</w:t>
      </w:r>
    </w:p>
    <w:p w14:paraId="7DC54191" w14:textId="77777777" w:rsidR="00507149" w:rsidRDefault="00507149" w:rsidP="00507149">
      <w:pPr>
        <w:suppressAutoHyphens w:val="0"/>
        <w:spacing w:line="276" w:lineRule="auto"/>
        <w:ind w:firstLine="720"/>
      </w:pPr>
    </w:p>
    <w:p w14:paraId="13714B85" w14:textId="77777777" w:rsidR="00507149" w:rsidRPr="00056BD6" w:rsidRDefault="00507149" w:rsidP="00507149">
      <w:pPr>
        <w:pStyle w:val="ListParagraph"/>
        <w:suppressAutoHyphens w:val="0"/>
        <w:spacing w:after="120" w:line="240" w:lineRule="auto"/>
        <w:ind w:left="360"/>
        <w:contextualSpacing w:val="0"/>
        <w:rPr>
          <w:rFonts w:ascii="StobiSerif Regular" w:hAnsi="StobiSerif Regular"/>
        </w:rPr>
      </w:pPr>
      <w:r>
        <w:rPr>
          <w:lang w:val="en-US"/>
        </w:rPr>
        <w:t xml:space="preserve">- </w:t>
      </w:r>
      <w:r w:rsidRPr="00056BD6">
        <w:rPr>
          <w:rFonts w:ascii="StobiSerif Regular" w:hAnsi="StobiSerif Regular"/>
        </w:rPr>
        <w:t xml:space="preserve">Родовата еднаквост во РСМ е регулирано согласно Законот за еднакви можности на жените и мажите, а воедно ве информираме дека во тек е изработка нов Предлог Закон за родова еднаквост која има за цел на обезбедување на родова еднаквост во сите сфери на јавниот и приватниот живот со зајакнување на положбата и статусот на жената во општеството и овозможување на еднакви можности за остварување на сите права преку унапредување на родовата еднаквост. Собранието на РСМ во 2022 година ја усвои и Националната стратегија за родова еднаквост 2022-2027 година со која се воспоставува сеопфатна рамка со активности за унапредување на родовата еднаквост и унапредување на статусот на жените. </w:t>
      </w:r>
    </w:p>
    <w:p w14:paraId="7AF02C56" w14:textId="77777777" w:rsidR="005C1E65" w:rsidRDefault="005C1E65"/>
    <w:sectPr w:rsidR="005C1E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obiSans Regular">
    <w:altName w:val="Calibri"/>
    <w:panose1 w:val="00000000000000000000"/>
    <w:charset w:val="00"/>
    <w:family w:val="modern"/>
    <w:notTrueType/>
    <w:pitch w:val="variable"/>
    <w:sig w:usb0="A00002AF" w:usb1="5000A07B" w:usb2="00000000" w:usb3="00000000" w:csb0="0000009F"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C60614"/>
    <w:multiLevelType w:val="hybridMultilevel"/>
    <w:tmpl w:val="14989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81C"/>
    <w:rsid w:val="00507149"/>
    <w:rsid w:val="005C1E65"/>
    <w:rsid w:val="005D2BF0"/>
    <w:rsid w:val="00E17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AD9E5"/>
  <w15:chartTrackingRefBased/>
  <w15:docId w15:val="{AEFBA7AB-F9D6-4869-BB88-DB479C9B4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Текст"/>
    <w:qFormat/>
    <w:rsid w:val="00507149"/>
    <w:pPr>
      <w:suppressAutoHyphens/>
      <w:spacing w:after="0" w:line="240" w:lineRule="auto"/>
      <w:jc w:val="both"/>
    </w:pPr>
    <w:rPr>
      <w:rFonts w:ascii="StobiSans Regular" w:eastAsia="Times New Roman" w:hAnsi="StobiSans Regular" w:cs="Times New Roman"/>
      <w:sz w:val="24"/>
      <w:szCs w:val="24"/>
      <w:lang w:val="mk-MK"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lorful List - Accent 11,lp1,Table of contents numbered,List Paragraph in table,List Paragraph1,Dot pt,F5 List Paragraph,No Spacing1,List Paragraph Char Char Char,Indicator Text,Numbered Para 1,Bullet 1,Bullet Points,Párrafo de lista,L"/>
    <w:basedOn w:val="Normal"/>
    <w:link w:val="ListParagraphChar"/>
    <w:uiPriority w:val="99"/>
    <w:qFormat/>
    <w:rsid w:val="00507149"/>
    <w:pPr>
      <w:spacing w:after="200" w:line="276" w:lineRule="auto"/>
      <w:ind w:left="720"/>
      <w:contextualSpacing/>
    </w:pPr>
    <w:rPr>
      <w:rFonts w:ascii="Calibri" w:hAnsi="Calibri"/>
      <w:sz w:val="22"/>
      <w:szCs w:val="22"/>
      <w:lang w:eastAsia="en-US"/>
    </w:rPr>
  </w:style>
  <w:style w:type="character" w:customStyle="1" w:styleId="ListParagraphChar">
    <w:name w:val="List Paragraph Char"/>
    <w:aliases w:val="Colorful List - Accent 11 Char,lp1 Char,Table of contents numbered Char,List Paragraph in table Char,List Paragraph1 Char,Dot pt Char,F5 List Paragraph Char,No Spacing1 Char,List Paragraph Char Char Char Char,Indicator Text Char"/>
    <w:link w:val="ListParagraph"/>
    <w:uiPriority w:val="99"/>
    <w:qFormat/>
    <w:locked/>
    <w:rsid w:val="00507149"/>
    <w:rPr>
      <w:rFonts w:ascii="Calibri" w:eastAsia="Times New Roman" w:hAnsi="Calibri" w:cs="Times New Roman"/>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796</Words>
  <Characters>4540</Characters>
  <Application>Microsoft Office Word</Application>
  <DocSecurity>0</DocSecurity>
  <Lines>37</Lines>
  <Paragraphs>10</Paragraphs>
  <ScaleCrop>false</ScaleCrop>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Afrim Selimi</dc:creator>
  <cp:keywords/>
  <dc:description/>
  <cp:lastModifiedBy>Afrim Selimi</cp:lastModifiedBy>
  <cp:revision>2</cp:revision>
  <dcterms:created xsi:type="dcterms:W3CDTF">2023-04-06T09:08:00Z</dcterms:created>
  <dcterms:modified xsi:type="dcterms:W3CDTF">2023-04-06T09:08:00Z</dcterms:modified>
</cp:coreProperties>
</file>